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77D3" w14:textId="77777777" w:rsidR="003D730D" w:rsidRPr="003D730D" w:rsidRDefault="003D730D" w:rsidP="003D730D">
      <w:pPr>
        <w:spacing w:after="0" w:line="240" w:lineRule="auto"/>
        <w:outlineLvl w:val="1"/>
        <w:rPr>
          <w:rFonts w:ascii="Calibri" w:eastAsia="Times New Roman" w:hAnsi="Calibri" w:cs="Calibri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sz w:val="30"/>
          <w:szCs w:val="30"/>
          <w:lang w:eastAsia="da-DK"/>
        </w:rPr>
        <w:t>Orientering om hjemløse i Greve 2022</w:t>
      </w:r>
    </w:p>
    <w:p w14:paraId="45B09811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22-012446</w:t>
      </w:r>
    </w:p>
    <w:p w14:paraId="22C6A9C8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Fremstilling</w:t>
      </w:r>
    </w:p>
    <w:p w14:paraId="3A6C1CD2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Sagsprocedure</w:t>
      </w:r>
    </w:p>
    <w:p w14:paraId="609A82D9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Social- og Handicapudvalget.</w:t>
      </w:r>
    </w:p>
    <w:p w14:paraId="229AA184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Resume</w:t>
      </w:r>
    </w:p>
    <w:p w14:paraId="213300E6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Denne sag orienterer om antal adresseløse borgere i Greve, antal anviste boliger via boliganvisningens akutliste samt om hjemløse borgeres ophold på forsorgshjem eller herberg. Sagen er tilbagevendende hvert andet år og fremlægges samtidig med sagen om den nationale hjemløsetælling.</w:t>
      </w:r>
    </w:p>
    <w:p w14:paraId="3CB63705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Indstilling</w:t>
      </w:r>
    </w:p>
    <w:p w14:paraId="35698EE3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i/>
          <w:iCs/>
          <w:color w:val="2C3E50"/>
          <w:sz w:val="24"/>
          <w:szCs w:val="24"/>
          <w:lang w:eastAsia="da-DK"/>
        </w:rPr>
        <w:t>Center for Job &amp; Socialservice indstiller, at orienteringen tages til efterretning.</w:t>
      </w:r>
    </w:p>
    <w:p w14:paraId="2D9B6CAA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Sagsbeskrivelse</w:t>
      </w:r>
    </w:p>
    <w:p w14:paraId="3EA47333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Denne sag orienterer om antal adresseløse borgere i Greve, antal anviste boliger via boliganvisningens akutliste samt om hjemløse borgeres ophold på forsorgshjem eller herberg. Sagen er tilbagevendende hvert andet år og fremlægges samtidig med sagen om den nationale hjemløsetælling.</w:t>
      </w:r>
    </w:p>
    <w:p w14:paraId="45E44345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60F57C71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Det tidligere fagudvalg, Social- Sundheds- og Psykiatriudvalg bestilte en lokal opgørelse over varigheden af de hjemløse borgeres ophold på forsorgshjem og herberg. Opgørelsen er foretaget manuelt og omhandler kun hjemløse borgere i Greve Kommune.</w:t>
      </w:r>
    </w:p>
    <w:p w14:paraId="44B3D4BD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41F540C2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Antal adresseløse</w:t>
      </w:r>
    </w:p>
    <w:p w14:paraId="78C2341B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På Folkeregisteradresse 1 (FR1) registreres de borgere, som folkeregistret ikke har yderligere kendskab til i det øjeblik, der foretages en folkeregistrering på FR1. Det kan eksempelvis være en tidligere beboer, der står registreret på en adresse, men som skulle være fraflyttet. Folkeregistret kan ikke i situationen se, hvor vedkommende er flyttet hen, og personens adresse flyttes derfor til FR1.</w:t>
      </w:r>
    </w:p>
    <w:p w14:paraId="4D55E3A6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730B2A3F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På Folkeregisteradresse 2 (FR2) registreres de borgere, som folkeregistret har kontaktoplysninger på, for eksempel en e-mailadresse eller et telefonnummer. Det kan eksempelvis være borgere, som midlertidigt har brug for en folkeregistrering på Greve Rådhus.</w:t>
      </w:r>
    </w:p>
    <w:p w14:paraId="0E60B604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2F336623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Nedenstående tabel viser antal borgere registreret med folkeregisteradresse på Greve Rådhus.</w:t>
      </w:r>
    </w:p>
    <w:p w14:paraId="61E20668" w14:textId="23B08C62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noProof/>
        </w:rPr>
        <w:drawing>
          <wp:inline distT="0" distB="0" distL="0" distR="0" wp14:anchorId="07A8003A" wp14:editId="4480FE82">
            <wp:extent cx="4457700" cy="771525"/>
            <wp:effectExtent l="0" t="0" r="0" b="0"/>
            <wp:docPr id="3" name="Billede 3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BEBD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64CE3545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lastRenderedPageBreak/>
        <w:t>Der er sket en stigning fra 2020 til 2022 i registrerede borgere på FR2 og et fald på FR1, men i alt er niveauet af registrerede borgere som i 2020.</w:t>
      </w:r>
    </w:p>
    <w:p w14:paraId="55DE8563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54B00154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Antal boliger anvist via akutlisten, heraf til hjemløse</w:t>
      </w:r>
    </w:p>
    <w:p w14:paraId="7F2FCF99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Nedenstående tabel viser antallet af boliger anvist via boliganvisningens akutliste fra 2016 til den 4. august 2022.</w:t>
      </w:r>
    </w:p>
    <w:p w14:paraId="683C29D9" w14:textId="45159360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noProof/>
        </w:rPr>
        <w:drawing>
          <wp:inline distT="0" distB="0" distL="0" distR="0" wp14:anchorId="531D7867" wp14:editId="6D1E7905">
            <wp:extent cx="4781550" cy="1143000"/>
            <wp:effectExtent l="0" t="0" r="0" b="0"/>
            <wp:docPr id="2" name="Billede 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610A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 </w:t>
      </w:r>
    </w:p>
    <w:p w14:paraId="137DBC77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Antallet af boliger tildelt hjemløse i 2022 er 15 ud af 36 boliger, hvilket er 42 procent af de anviste boliger, det er en større andel end det har været de seneste par år.</w:t>
      </w:r>
    </w:p>
    <w:p w14:paraId="59B3D00F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Borgere på forsorgshjem/herberg</w:t>
      </w:r>
    </w:p>
    <w:p w14:paraId="6241BD71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Nedenstående tabel viser antal borgere på forsorgshjem/herberg. Tabellen viser et øjebliksbillede. Der kan være daglige til- og afgange af borgere. Visitationsretten til forsorgshjem/herberg er forbeholdt ledere af centrene. Forsorgshjem/herberg skal dog give Greve Kommune besked senest efter tre dage, hvis en greveborger visiteres.</w:t>
      </w:r>
    </w:p>
    <w:p w14:paraId="0F0D8AC5" w14:textId="1789A706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noProof/>
        </w:rPr>
        <w:drawing>
          <wp:inline distT="0" distB="0" distL="0" distR="0" wp14:anchorId="2CA0DE43" wp14:editId="4598F206">
            <wp:extent cx="6172200" cy="1552575"/>
            <wp:effectExtent l="0" t="0" r="0" b="0"/>
            <wp:docPr id="1" name="Billede 1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5E91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Opgørelsen viser, at nogle borgere har flere forløb på forsorgshjem/herberg i løbet af et år. Der indgår 23 hjemløse borgere i opgørelsen og på disse borgere er der 17 afsluttede og 9 uafsluttede forløb. De fleste ophold er afsluttede i løbet af første halvår af 2022, det er særligt de uafsluttede forløb som har udsigt til at blive længerevarende.  </w:t>
      </w:r>
    </w:p>
    <w:p w14:paraId="04E5A098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Ud af de 23 borgere har 4 borgere et kort forløb på forsorgshjem/herberg på op til 10 dage, de fleste borgere i gruppen har et mellemlangt ophold på op til et par måneder og 6 borgere i gruppen har længerevarende ophold over 3 måneder. Heraf er der enkelte borgere, der har et ophold på flere år på forsorgshjem/herberg.</w:t>
      </w:r>
    </w:p>
    <w:p w14:paraId="784E985E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I Greve Kommune er der tæt opfølgning på hjemløse borgere og for borgere indskrevet på forsorgshjem/herbergfølger rådgiverne op på indsatsen hver måned. I 2022 blev 3 hjemløse borgere visiteret fra forsorgshjem/herberg til midlertidigt botilbud.</w:t>
      </w:r>
    </w:p>
    <w:p w14:paraId="7A385457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Administrationen har et kontinuerligt fokus på, at borgernes ophold på forsorgshjem/herberg skal være så kort som muligt.</w:t>
      </w:r>
    </w:p>
    <w:p w14:paraId="5E089A18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lastRenderedPageBreak/>
        <w:t>Lovgrundlag</w:t>
      </w:r>
    </w:p>
    <w:p w14:paraId="0B0C7ABD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Lov om social service.</w:t>
      </w:r>
    </w:p>
    <w:p w14:paraId="78CD6D56" w14:textId="77777777" w:rsidR="003D730D" w:rsidRPr="003D730D" w:rsidRDefault="003D730D" w:rsidP="003D730D">
      <w:pPr>
        <w:spacing w:before="75" w:after="158" w:line="240" w:lineRule="auto"/>
        <w:outlineLvl w:val="2"/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</w:pPr>
      <w:r w:rsidRPr="003D730D">
        <w:rPr>
          <w:rFonts w:ascii="Calibri" w:eastAsia="Times New Roman" w:hAnsi="Calibri" w:cs="Calibri"/>
          <w:b/>
          <w:bCs/>
          <w:color w:val="2C3E50"/>
          <w:sz w:val="30"/>
          <w:szCs w:val="30"/>
          <w:lang w:eastAsia="da-DK"/>
        </w:rPr>
        <w:t>Økonomiske konsekvenser</w:t>
      </w:r>
    </w:p>
    <w:p w14:paraId="7BE883C9" w14:textId="77777777" w:rsidR="003D730D" w:rsidRPr="003D730D" w:rsidRDefault="003D730D" w:rsidP="003D730D">
      <w:pPr>
        <w:spacing w:after="0" w:line="240" w:lineRule="auto"/>
        <w:rPr>
          <w:rFonts w:ascii="Calibri" w:eastAsia="Times New Roman" w:hAnsi="Calibri" w:cs="Calibri"/>
          <w:color w:val="2C3E50"/>
          <w:sz w:val="24"/>
          <w:szCs w:val="24"/>
          <w:lang w:eastAsia="da-DK"/>
        </w:rPr>
      </w:pPr>
      <w:r w:rsidRPr="003D730D">
        <w:rPr>
          <w:rFonts w:ascii="Calibri" w:eastAsia="Times New Roman" w:hAnsi="Calibri" w:cs="Calibri"/>
          <w:color w:val="2C3E50"/>
          <w:sz w:val="24"/>
          <w:szCs w:val="24"/>
          <w:lang w:eastAsia="da-DK"/>
        </w:rPr>
        <w:t>Sagen har ingen økonomiske konsekvenser.</w:t>
      </w:r>
    </w:p>
    <w:p w14:paraId="3A02331E" w14:textId="77777777" w:rsidR="00370F2B" w:rsidRDefault="00370F2B"/>
    <w:sectPr w:rsidR="00370F2B" w:rsidSect="00C1543E">
      <w:pgSz w:w="12240" w:h="15840" w:code="1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0D"/>
    <w:rsid w:val="000001C9"/>
    <w:rsid w:val="00001735"/>
    <w:rsid w:val="00003B04"/>
    <w:rsid w:val="000345D4"/>
    <w:rsid w:val="00040461"/>
    <w:rsid w:val="00041EE5"/>
    <w:rsid w:val="00043DC6"/>
    <w:rsid w:val="00050606"/>
    <w:rsid w:val="00050F6F"/>
    <w:rsid w:val="000529D8"/>
    <w:rsid w:val="00052E4C"/>
    <w:rsid w:val="00057D0E"/>
    <w:rsid w:val="000619E5"/>
    <w:rsid w:val="00062F38"/>
    <w:rsid w:val="00064925"/>
    <w:rsid w:val="00090EEA"/>
    <w:rsid w:val="000966F2"/>
    <w:rsid w:val="00096D9A"/>
    <w:rsid w:val="00097AF9"/>
    <w:rsid w:val="000B3E54"/>
    <w:rsid w:val="000C471C"/>
    <w:rsid w:val="000D66D8"/>
    <w:rsid w:val="000E5432"/>
    <w:rsid w:val="000E6066"/>
    <w:rsid w:val="000E6BC5"/>
    <w:rsid w:val="000F54C3"/>
    <w:rsid w:val="00100B22"/>
    <w:rsid w:val="0010709A"/>
    <w:rsid w:val="00111AF9"/>
    <w:rsid w:val="00116840"/>
    <w:rsid w:val="00117470"/>
    <w:rsid w:val="001218FD"/>
    <w:rsid w:val="00130887"/>
    <w:rsid w:val="001365F9"/>
    <w:rsid w:val="00136C67"/>
    <w:rsid w:val="001824FF"/>
    <w:rsid w:val="00182971"/>
    <w:rsid w:val="00183741"/>
    <w:rsid w:val="00191D30"/>
    <w:rsid w:val="001920B6"/>
    <w:rsid w:val="001A1DD9"/>
    <w:rsid w:val="001B4CAB"/>
    <w:rsid w:val="001B67E3"/>
    <w:rsid w:val="001B7B75"/>
    <w:rsid w:val="001C5B7F"/>
    <w:rsid w:val="001C7D11"/>
    <w:rsid w:val="001D1861"/>
    <w:rsid w:val="001D5E16"/>
    <w:rsid w:val="00203DF1"/>
    <w:rsid w:val="002045CE"/>
    <w:rsid w:val="002111D1"/>
    <w:rsid w:val="00220573"/>
    <w:rsid w:val="0023021E"/>
    <w:rsid w:val="00246332"/>
    <w:rsid w:val="00247CE9"/>
    <w:rsid w:val="00247D0F"/>
    <w:rsid w:val="00252B62"/>
    <w:rsid w:val="00267A92"/>
    <w:rsid w:val="00276C47"/>
    <w:rsid w:val="002817CE"/>
    <w:rsid w:val="0029326A"/>
    <w:rsid w:val="00294C31"/>
    <w:rsid w:val="00295A5A"/>
    <w:rsid w:val="002A0CE0"/>
    <w:rsid w:val="002B1B55"/>
    <w:rsid w:val="002C2592"/>
    <w:rsid w:val="002C3284"/>
    <w:rsid w:val="002D00BC"/>
    <w:rsid w:val="002E002B"/>
    <w:rsid w:val="002E5169"/>
    <w:rsid w:val="002F078C"/>
    <w:rsid w:val="002F1517"/>
    <w:rsid w:val="00304362"/>
    <w:rsid w:val="00304E8B"/>
    <w:rsid w:val="00317BE3"/>
    <w:rsid w:val="00321BF2"/>
    <w:rsid w:val="00331256"/>
    <w:rsid w:val="003320C6"/>
    <w:rsid w:val="0033335B"/>
    <w:rsid w:val="00333907"/>
    <w:rsid w:val="00336FB1"/>
    <w:rsid w:val="00337529"/>
    <w:rsid w:val="00340887"/>
    <w:rsid w:val="003415E3"/>
    <w:rsid w:val="003436CF"/>
    <w:rsid w:val="00356579"/>
    <w:rsid w:val="003574BC"/>
    <w:rsid w:val="0036034B"/>
    <w:rsid w:val="0036227D"/>
    <w:rsid w:val="00365F3F"/>
    <w:rsid w:val="00366DFE"/>
    <w:rsid w:val="00370F2B"/>
    <w:rsid w:val="00376FFA"/>
    <w:rsid w:val="003843BD"/>
    <w:rsid w:val="00384FCA"/>
    <w:rsid w:val="003A5491"/>
    <w:rsid w:val="003A7FA1"/>
    <w:rsid w:val="003B1D25"/>
    <w:rsid w:val="003B2F96"/>
    <w:rsid w:val="003B6D83"/>
    <w:rsid w:val="003D25C6"/>
    <w:rsid w:val="003D730D"/>
    <w:rsid w:val="003E66D7"/>
    <w:rsid w:val="003E66E3"/>
    <w:rsid w:val="003F133B"/>
    <w:rsid w:val="003F3269"/>
    <w:rsid w:val="003F6901"/>
    <w:rsid w:val="003F7CC5"/>
    <w:rsid w:val="00401A23"/>
    <w:rsid w:val="00403514"/>
    <w:rsid w:val="00407AA7"/>
    <w:rsid w:val="00423EFF"/>
    <w:rsid w:val="00424382"/>
    <w:rsid w:val="0043238E"/>
    <w:rsid w:val="00434E4D"/>
    <w:rsid w:val="00435A57"/>
    <w:rsid w:val="0043788E"/>
    <w:rsid w:val="0044218D"/>
    <w:rsid w:val="00442E03"/>
    <w:rsid w:val="004456AF"/>
    <w:rsid w:val="00464186"/>
    <w:rsid w:val="00464905"/>
    <w:rsid w:val="00471402"/>
    <w:rsid w:val="004731F1"/>
    <w:rsid w:val="00477654"/>
    <w:rsid w:val="004808CE"/>
    <w:rsid w:val="00480C61"/>
    <w:rsid w:val="00490FA8"/>
    <w:rsid w:val="004B0DAC"/>
    <w:rsid w:val="004B463F"/>
    <w:rsid w:val="004B5B6E"/>
    <w:rsid w:val="004B5E0E"/>
    <w:rsid w:val="004C4E8F"/>
    <w:rsid w:val="004C6EDB"/>
    <w:rsid w:val="004D115F"/>
    <w:rsid w:val="004E1373"/>
    <w:rsid w:val="004F367A"/>
    <w:rsid w:val="00504020"/>
    <w:rsid w:val="00511DE3"/>
    <w:rsid w:val="00517477"/>
    <w:rsid w:val="0052117D"/>
    <w:rsid w:val="00534233"/>
    <w:rsid w:val="00546618"/>
    <w:rsid w:val="00551C14"/>
    <w:rsid w:val="005619BD"/>
    <w:rsid w:val="005656F7"/>
    <w:rsid w:val="005838C8"/>
    <w:rsid w:val="005841AD"/>
    <w:rsid w:val="00584227"/>
    <w:rsid w:val="00587AD7"/>
    <w:rsid w:val="005931BF"/>
    <w:rsid w:val="00593843"/>
    <w:rsid w:val="00596652"/>
    <w:rsid w:val="005A09F7"/>
    <w:rsid w:val="005A3EFF"/>
    <w:rsid w:val="005A70A5"/>
    <w:rsid w:val="005B15D7"/>
    <w:rsid w:val="005B7094"/>
    <w:rsid w:val="005C2981"/>
    <w:rsid w:val="005E25D1"/>
    <w:rsid w:val="005E4581"/>
    <w:rsid w:val="005F07E3"/>
    <w:rsid w:val="005F59F9"/>
    <w:rsid w:val="00601CA5"/>
    <w:rsid w:val="00606847"/>
    <w:rsid w:val="00612719"/>
    <w:rsid w:val="00641B2D"/>
    <w:rsid w:val="0064204E"/>
    <w:rsid w:val="00657B34"/>
    <w:rsid w:val="006732BA"/>
    <w:rsid w:val="0067621D"/>
    <w:rsid w:val="006877DF"/>
    <w:rsid w:val="006909A1"/>
    <w:rsid w:val="006911DD"/>
    <w:rsid w:val="006942A8"/>
    <w:rsid w:val="006D08E9"/>
    <w:rsid w:val="006D3616"/>
    <w:rsid w:val="006D43C4"/>
    <w:rsid w:val="006D5B08"/>
    <w:rsid w:val="006D7AF4"/>
    <w:rsid w:val="006E3DB7"/>
    <w:rsid w:val="006E6270"/>
    <w:rsid w:val="006E7CA6"/>
    <w:rsid w:val="006F7334"/>
    <w:rsid w:val="007035DD"/>
    <w:rsid w:val="00717AA0"/>
    <w:rsid w:val="00722B8C"/>
    <w:rsid w:val="0072384D"/>
    <w:rsid w:val="00724D41"/>
    <w:rsid w:val="00744A3F"/>
    <w:rsid w:val="00747C78"/>
    <w:rsid w:val="007511C0"/>
    <w:rsid w:val="007537F5"/>
    <w:rsid w:val="00753C20"/>
    <w:rsid w:val="00754736"/>
    <w:rsid w:val="00767CA1"/>
    <w:rsid w:val="00784CDE"/>
    <w:rsid w:val="00794122"/>
    <w:rsid w:val="007B5303"/>
    <w:rsid w:val="007C4B95"/>
    <w:rsid w:val="007C6DCD"/>
    <w:rsid w:val="007D1A0D"/>
    <w:rsid w:val="007F03CB"/>
    <w:rsid w:val="007F4ACB"/>
    <w:rsid w:val="008002A4"/>
    <w:rsid w:val="00810559"/>
    <w:rsid w:val="00815949"/>
    <w:rsid w:val="00822FC6"/>
    <w:rsid w:val="008258B4"/>
    <w:rsid w:val="00827FE6"/>
    <w:rsid w:val="00830C8B"/>
    <w:rsid w:val="00835A3D"/>
    <w:rsid w:val="008447FF"/>
    <w:rsid w:val="008564DD"/>
    <w:rsid w:val="008645B0"/>
    <w:rsid w:val="00865080"/>
    <w:rsid w:val="00870795"/>
    <w:rsid w:val="00872CC3"/>
    <w:rsid w:val="008A00E7"/>
    <w:rsid w:val="008A740A"/>
    <w:rsid w:val="008A7DFB"/>
    <w:rsid w:val="008D3835"/>
    <w:rsid w:val="008D5266"/>
    <w:rsid w:val="008F1902"/>
    <w:rsid w:val="008F23E0"/>
    <w:rsid w:val="00910F8C"/>
    <w:rsid w:val="00911ED8"/>
    <w:rsid w:val="0091687F"/>
    <w:rsid w:val="00917C4A"/>
    <w:rsid w:val="00933C8B"/>
    <w:rsid w:val="00937764"/>
    <w:rsid w:val="00944B81"/>
    <w:rsid w:val="00953371"/>
    <w:rsid w:val="0095501D"/>
    <w:rsid w:val="00956A9B"/>
    <w:rsid w:val="0096188E"/>
    <w:rsid w:val="00962371"/>
    <w:rsid w:val="009646F2"/>
    <w:rsid w:val="00971DEC"/>
    <w:rsid w:val="0098288E"/>
    <w:rsid w:val="0098722A"/>
    <w:rsid w:val="009A17E4"/>
    <w:rsid w:val="009A70F8"/>
    <w:rsid w:val="009B087F"/>
    <w:rsid w:val="009B2559"/>
    <w:rsid w:val="009B2D48"/>
    <w:rsid w:val="009B5E23"/>
    <w:rsid w:val="009C0440"/>
    <w:rsid w:val="009C0FD9"/>
    <w:rsid w:val="009C5D4D"/>
    <w:rsid w:val="009D0C34"/>
    <w:rsid w:val="009D1B34"/>
    <w:rsid w:val="009E3A29"/>
    <w:rsid w:val="009F3BC7"/>
    <w:rsid w:val="009F3C64"/>
    <w:rsid w:val="009F4F2B"/>
    <w:rsid w:val="00A10896"/>
    <w:rsid w:val="00A1780C"/>
    <w:rsid w:val="00A2579D"/>
    <w:rsid w:val="00A309CE"/>
    <w:rsid w:val="00A32847"/>
    <w:rsid w:val="00A33126"/>
    <w:rsid w:val="00A35286"/>
    <w:rsid w:val="00A438B4"/>
    <w:rsid w:val="00A452B8"/>
    <w:rsid w:val="00A46DFB"/>
    <w:rsid w:val="00A521BF"/>
    <w:rsid w:val="00A556E9"/>
    <w:rsid w:val="00A573A3"/>
    <w:rsid w:val="00A63247"/>
    <w:rsid w:val="00A7251F"/>
    <w:rsid w:val="00A83524"/>
    <w:rsid w:val="00A87ADC"/>
    <w:rsid w:val="00A960E7"/>
    <w:rsid w:val="00AA1278"/>
    <w:rsid w:val="00AB3CE6"/>
    <w:rsid w:val="00AB7704"/>
    <w:rsid w:val="00AD40C9"/>
    <w:rsid w:val="00AE183D"/>
    <w:rsid w:val="00AF5B50"/>
    <w:rsid w:val="00AF768F"/>
    <w:rsid w:val="00AF7885"/>
    <w:rsid w:val="00B05976"/>
    <w:rsid w:val="00B14063"/>
    <w:rsid w:val="00B15711"/>
    <w:rsid w:val="00B2191F"/>
    <w:rsid w:val="00B30B5A"/>
    <w:rsid w:val="00B37698"/>
    <w:rsid w:val="00B4438A"/>
    <w:rsid w:val="00B500AA"/>
    <w:rsid w:val="00B55D32"/>
    <w:rsid w:val="00B643BE"/>
    <w:rsid w:val="00B6477A"/>
    <w:rsid w:val="00B76091"/>
    <w:rsid w:val="00B76DCC"/>
    <w:rsid w:val="00B9304D"/>
    <w:rsid w:val="00BB0EF6"/>
    <w:rsid w:val="00BB2E6C"/>
    <w:rsid w:val="00BB31E9"/>
    <w:rsid w:val="00BB3863"/>
    <w:rsid w:val="00BD4CC6"/>
    <w:rsid w:val="00BE3109"/>
    <w:rsid w:val="00BF0544"/>
    <w:rsid w:val="00BF5A68"/>
    <w:rsid w:val="00C05EC0"/>
    <w:rsid w:val="00C07960"/>
    <w:rsid w:val="00C1543E"/>
    <w:rsid w:val="00C27DAE"/>
    <w:rsid w:val="00C32455"/>
    <w:rsid w:val="00C54FE0"/>
    <w:rsid w:val="00C60BCE"/>
    <w:rsid w:val="00C65B13"/>
    <w:rsid w:val="00C7013F"/>
    <w:rsid w:val="00C70CC9"/>
    <w:rsid w:val="00C746E0"/>
    <w:rsid w:val="00C75B4D"/>
    <w:rsid w:val="00C80629"/>
    <w:rsid w:val="00C81793"/>
    <w:rsid w:val="00C90BCC"/>
    <w:rsid w:val="00C94061"/>
    <w:rsid w:val="00C95BCC"/>
    <w:rsid w:val="00CA0CE0"/>
    <w:rsid w:val="00CA3599"/>
    <w:rsid w:val="00CA4067"/>
    <w:rsid w:val="00CA4B3F"/>
    <w:rsid w:val="00CA78FC"/>
    <w:rsid w:val="00CB1D5B"/>
    <w:rsid w:val="00CB44CA"/>
    <w:rsid w:val="00CB786C"/>
    <w:rsid w:val="00CC1586"/>
    <w:rsid w:val="00CC6FB3"/>
    <w:rsid w:val="00CE0557"/>
    <w:rsid w:val="00CE0A75"/>
    <w:rsid w:val="00CE2147"/>
    <w:rsid w:val="00CE44FD"/>
    <w:rsid w:val="00CE48A5"/>
    <w:rsid w:val="00CF1105"/>
    <w:rsid w:val="00CF3461"/>
    <w:rsid w:val="00CF6F87"/>
    <w:rsid w:val="00D10F53"/>
    <w:rsid w:val="00D14B30"/>
    <w:rsid w:val="00D358A5"/>
    <w:rsid w:val="00D35DA8"/>
    <w:rsid w:val="00D455AA"/>
    <w:rsid w:val="00D516DA"/>
    <w:rsid w:val="00D5652C"/>
    <w:rsid w:val="00D70442"/>
    <w:rsid w:val="00D705EA"/>
    <w:rsid w:val="00D706B3"/>
    <w:rsid w:val="00D73A79"/>
    <w:rsid w:val="00D7621B"/>
    <w:rsid w:val="00D85776"/>
    <w:rsid w:val="00D879B9"/>
    <w:rsid w:val="00D94601"/>
    <w:rsid w:val="00D96D9F"/>
    <w:rsid w:val="00DA1554"/>
    <w:rsid w:val="00DA2C56"/>
    <w:rsid w:val="00DA37E6"/>
    <w:rsid w:val="00DA4076"/>
    <w:rsid w:val="00DA58AF"/>
    <w:rsid w:val="00DA5F9B"/>
    <w:rsid w:val="00DA7CBA"/>
    <w:rsid w:val="00DB1DE6"/>
    <w:rsid w:val="00DB7A8D"/>
    <w:rsid w:val="00DC0E73"/>
    <w:rsid w:val="00DC7698"/>
    <w:rsid w:val="00DE6C92"/>
    <w:rsid w:val="00DE7A0E"/>
    <w:rsid w:val="00E0131D"/>
    <w:rsid w:val="00E04F62"/>
    <w:rsid w:val="00E10BA7"/>
    <w:rsid w:val="00E13EA7"/>
    <w:rsid w:val="00E163FE"/>
    <w:rsid w:val="00E17657"/>
    <w:rsid w:val="00E228B5"/>
    <w:rsid w:val="00E2576E"/>
    <w:rsid w:val="00E419AB"/>
    <w:rsid w:val="00E448D0"/>
    <w:rsid w:val="00E45900"/>
    <w:rsid w:val="00E5474C"/>
    <w:rsid w:val="00E578E1"/>
    <w:rsid w:val="00E72D41"/>
    <w:rsid w:val="00E769EE"/>
    <w:rsid w:val="00E7732D"/>
    <w:rsid w:val="00E8408B"/>
    <w:rsid w:val="00E85B0A"/>
    <w:rsid w:val="00EA546F"/>
    <w:rsid w:val="00EB3B75"/>
    <w:rsid w:val="00EC1A86"/>
    <w:rsid w:val="00EC1BC9"/>
    <w:rsid w:val="00EC5D52"/>
    <w:rsid w:val="00ED5000"/>
    <w:rsid w:val="00ED5DA9"/>
    <w:rsid w:val="00ED7967"/>
    <w:rsid w:val="00EE02C0"/>
    <w:rsid w:val="00EE1B49"/>
    <w:rsid w:val="00EE4AA6"/>
    <w:rsid w:val="00EF070B"/>
    <w:rsid w:val="00EF3957"/>
    <w:rsid w:val="00EF7232"/>
    <w:rsid w:val="00EF7F6E"/>
    <w:rsid w:val="00F016E8"/>
    <w:rsid w:val="00F10D66"/>
    <w:rsid w:val="00F1322E"/>
    <w:rsid w:val="00F2288A"/>
    <w:rsid w:val="00F23193"/>
    <w:rsid w:val="00F24ABE"/>
    <w:rsid w:val="00F338C4"/>
    <w:rsid w:val="00F37943"/>
    <w:rsid w:val="00F408C2"/>
    <w:rsid w:val="00F41DE5"/>
    <w:rsid w:val="00F43FDB"/>
    <w:rsid w:val="00F459AD"/>
    <w:rsid w:val="00F55376"/>
    <w:rsid w:val="00F72443"/>
    <w:rsid w:val="00F96A7B"/>
    <w:rsid w:val="00F97A0E"/>
    <w:rsid w:val="00FA5084"/>
    <w:rsid w:val="00FA7C12"/>
    <w:rsid w:val="00FB3C2E"/>
    <w:rsid w:val="00FB6FE7"/>
    <w:rsid w:val="00FD12C8"/>
    <w:rsid w:val="00FD2867"/>
    <w:rsid w:val="00FE255F"/>
    <w:rsid w:val="00FE3136"/>
    <w:rsid w:val="00FF4CDF"/>
    <w:rsid w:val="00FF63AE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2543"/>
  <w15:chartTrackingRefBased/>
  <w15:docId w15:val="{6FA8CF2B-5A42-4F39-9672-CF57D79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D7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3D7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D730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730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sagsnummer">
    <w:name w:val="sagsnummer"/>
    <w:basedOn w:val="Standardskrifttypeiafsnit"/>
    <w:rsid w:val="003D730D"/>
  </w:style>
  <w:style w:type="character" w:styleId="Fremhv">
    <w:name w:val="Emphasis"/>
    <w:basedOn w:val="Standardskrifttypeiafsnit"/>
    <w:uiPriority w:val="20"/>
    <w:qFormat/>
    <w:rsid w:val="003D7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7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Overgaard</dc:creator>
  <cp:keywords/>
  <dc:description/>
  <cp:lastModifiedBy>Gitte Overgaard</cp:lastModifiedBy>
  <cp:revision>1</cp:revision>
  <dcterms:created xsi:type="dcterms:W3CDTF">2022-10-06T06:24:00Z</dcterms:created>
  <dcterms:modified xsi:type="dcterms:W3CDTF">2022-10-06T06:24:00Z</dcterms:modified>
</cp:coreProperties>
</file>