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471F" w14:textId="77777777" w:rsidR="003F7855" w:rsidRPr="003F7855" w:rsidRDefault="003F7855" w:rsidP="003F7855">
      <w:pPr>
        <w:rPr>
          <w:b/>
          <w:bCs/>
        </w:rPr>
      </w:pPr>
      <w:bookmarkStart w:id="0" w:name="_Ref119483880"/>
      <w:bookmarkStart w:id="1" w:name="_Toc148533036"/>
      <w:r w:rsidRPr="003F7855">
        <w:rPr>
          <w:b/>
          <w:bCs/>
        </w:rPr>
        <w:t>Bilag 1 - Miljøtemaer i Miljøkonsekvensrapporten</w:t>
      </w:r>
      <w:bookmarkEnd w:id="0"/>
      <w:bookmarkEnd w:id="1"/>
    </w:p>
    <w:p w14:paraId="6C735291" w14:textId="1ADD6456" w:rsidR="003F7855" w:rsidRPr="003F7855" w:rsidRDefault="003F7855" w:rsidP="003F7855">
      <w:r w:rsidRPr="003F7855">
        <w:t xml:space="preserve">Vedlagt er en tabel over de miljøtemaer som fremgår af Miljøvurderingslovens Bilag 7. Rækker uden farve angiver miljøtemaer, som vurderes relevante at medtage i </w:t>
      </w:r>
      <w:r w:rsidR="00B81F67">
        <w:t>m</w:t>
      </w:r>
      <w:r w:rsidRPr="003F7855">
        <w:t xml:space="preserve">iljøkonsekvensrapporten. Rækker farvet med grå angiver miljøtemaer, som ikke vurderes relevante at medtage i </w:t>
      </w:r>
      <w:r w:rsidR="00B81F67">
        <w:t>m</w:t>
      </w:r>
      <w:r w:rsidRPr="003F7855">
        <w:t>iljøkonsekvensrapporten.</w:t>
      </w:r>
    </w:p>
    <w:p w14:paraId="1F336A81" w14:textId="77777777" w:rsidR="003F7855" w:rsidRPr="003F7855" w:rsidRDefault="003F7855" w:rsidP="003F7855">
      <w:r w:rsidRPr="003F7855">
        <w:t xml:space="preserve"> </w:t>
      </w:r>
    </w:p>
    <w:tbl>
      <w:tblPr>
        <w:tblStyle w:val="Tabel-Gitter"/>
        <w:tblpPr w:leftFromText="142" w:rightFromText="142" w:vertAnchor="text" w:horzAnchor="page" w:tblpX="823" w:tblpY="1"/>
        <w:tblW w:w="4926" w:type="pct"/>
        <w:tblLook w:val="04A0" w:firstRow="1" w:lastRow="0" w:firstColumn="1" w:lastColumn="0" w:noHBand="0" w:noVBand="1"/>
      </w:tblPr>
      <w:tblGrid>
        <w:gridCol w:w="2893"/>
        <w:gridCol w:w="2275"/>
        <w:gridCol w:w="3441"/>
        <w:gridCol w:w="2641"/>
        <w:gridCol w:w="1109"/>
        <w:gridCol w:w="3875"/>
        <w:gridCol w:w="3863"/>
      </w:tblGrid>
      <w:tr w:rsidR="00782F99" w:rsidRPr="003F7855" w14:paraId="421BEDA1" w14:textId="77777777" w:rsidTr="00DC181C">
        <w:trPr>
          <w:trHeight w:val="596"/>
          <w:tblHeader/>
        </w:trPr>
        <w:tc>
          <w:tcPr>
            <w:tcW w:w="720" w:type="pct"/>
          </w:tcPr>
          <w:p w14:paraId="1289AB03" w14:textId="77777777" w:rsidR="003F7855" w:rsidRPr="003F7855" w:rsidRDefault="003F7855" w:rsidP="003F7855">
            <w:pPr>
              <w:spacing w:after="160" w:line="259" w:lineRule="auto"/>
              <w:rPr>
                <w:b/>
              </w:rPr>
            </w:pPr>
            <w:r w:rsidRPr="003F7855">
              <w:rPr>
                <w:b/>
              </w:rPr>
              <w:t>Miljøtema</w:t>
            </w:r>
          </w:p>
        </w:tc>
        <w:tc>
          <w:tcPr>
            <w:tcW w:w="566" w:type="pct"/>
          </w:tcPr>
          <w:p w14:paraId="467244E4" w14:textId="77777777" w:rsidR="003F7855" w:rsidRPr="003F7855" w:rsidRDefault="003F7855" w:rsidP="003F7855">
            <w:pPr>
              <w:spacing w:after="160" w:line="259" w:lineRule="auto"/>
              <w:rPr>
                <w:b/>
              </w:rPr>
            </w:pPr>
            <w:r w:rsidRPr="003F7855">
              <w:rPr>
                <w:b/>
              </w:rPr>
              <w:t>Underkategori</w:t>
            </w:r>
          </w:p>
        </w:tc>
        <w:tc>
          <w:tcPr>
            <w:tcW w:w="856" w:type="pct"/>
          </w:tcPr>
          <w:p w14:paraId="28C9BE83" w14:textId="77777777" w:rsidR="003F7855" w:rsidRPr="003F7855" w:rsidRDefault="003F7855" w:rsidP="003F7855">
            <w:pPr>
              <w:spacing w:after="160" w:line="259" w:lineRule="auto"/>
              <w:rPr>
                <w:b/>
              </w:rPr>
            </w:pPr>
            <w:r w:rsidRPr="003F7855">
              <w:rPr>
                <w:b/>
              </w:rPr>
              <w:t>Begrundelse for afgrænsning</w:t>
            </w:r>
          </w:p>
        </w:tc>
        <w:tc>
          <w:tcPr>
            <w:tcW w:w="657" w:type="pct"/>
          </w:tcPr>
          <w:p w14:paraId="5E9E7FB4" w14:textId="77777777" w:rsidR="003F7855" w:rsidRPr="003F7855" w:rsidRDefault="003F7855" w:rsidP="003F7855">
            <w:pPr>
              <w:spacing w:after="160" w:line="259" w:lineRule="auto"/>
              <w:rPr>
                <w:b/>
              </w:rPr>
            </w:pPr>
            <w:r w:rsidRPr="003F7855">
              <w:rPr>
                <w:b/>
              </w:rPr>
              <w:t>Vurdering af påvirkning</w:t>
            </w:r>
          </w:p>
        </w:tc>
        <w:tc>
          <w:tcPr>
            <w:tcW w:w="276" w:type="pct"/>
          </w:tcPr>
          <w:p w14:paraId="01960D9D" w14:textId="77777777" w:rsidR="003F7855" w:rsidRPr="003F7855" w:rsidRDefault="003F7855" w:rsidP="003F7855">
            <w:pPr>
              <w:spacing w:after="160" w:line="259" w:lineRule="auto"/>
              <w:rPr>
                <w:b/>
              </w:rPr>
            </w:pPr>
            <w:r w:rsidRPr="003F7855">
              <w:rPr>
                <w:b/>
              </w:rPr>
              <w:t>Fase</w:t>
            </w:r>
          </w:p>
        </w:tc>
        <w:tc>
          <w:tcPr>
            <w:tcW w:w="964" w:type="pct"/>
          </w:tcPr>
          <w:p w14:paraId="7494DEC1" w14:textId="77777777" w:rsidR="003F7855" w:rsidRPr="003F7855" w:rsidRDefault="003F7855" w:rsidP="003F7855">
            <w:pPr>
              <w:spacing w:after="160" w:line="259" w:lineRule="auto"/>
              <w:rPr>
                <w:b/>
              </w:rPr>
            </w:pPr>
            <w:r w:rsidRPr="003F7855">
              <w:rPr>
                <w:b/>
              </w:rPr>
              <w:t>Oplysningsgrundlag</w:t>
            </w:r>
          </w:p>
        </w:tc>
        <w:tc>
          <w:tcPr>
            <w:tcW w:w="961" w:type="pct"/>
          </w:tcPr>
          <w:p w14:paraId="0E327E17" w14:textId="77777777" w:rsidR="003F7855" w:rsidRPr="003F7855" w:rsidRDefault="003F7855" w:rsidP="003F7855">
            <w:pPr>
              <w:spacing w:after="160" w:line="259" w:lineRule="auto"/>
              <w:rPr>
                <w:b/>
              </w:rPr>
            </w:pPr>
            <w:r w:rsidRPr="003F7855">
              <w:rPr>
                <w:b/>
              </w:rPr>
              <w:t>Fravalg</w:t>
            </w:r>
          </w:p>
        </w:tc>
      </w:tr>
      <w:tr w:rsidR="00782F99" w:rsidRPr="003F7855" w14:paraId="5C6D71A4" w14:textId="77777777" w:rsidTr="00DC181C">
        <w:trPr>
          <w:trHeight w:val="596"/>
        </w:trPr>
        <w:tc>
          <w:tcPr>
            <w:tcW w:w="720" w:type="pct"/>
            <w:vMerge w:val="restart"/>
          </w:tcPr>
          <w:p w14:paraId="447818F2" w14:textId="77777777" w:rsidR="003F7855" w:rsidRPr="003F7855" w:rsidRDefault="003F7855" w:rsidP="003F7855">
            <w:pPr>
              <w:spacing w:after="160" w:line="259" w:lineRule="auto"/>
              <w:rPr>
                <w:b/>
              </w:rPr>
            </w:pPr>
            <w:r w:rsidRPr="003F7855">
              <w:rPr>
                <w:b/>
              </w:rPr>
              <w:t>Befolkning og menneskers sundhed</w:t>
            </w:r>
          </w:p>
        </w:tc>
        <w:tc>
          <w:tcPr>
            <w:tcW w:w="566" w:type="pct"/>
          </w:tcPr>
          <w:p w14:paraId="4E61E57D" w14:textId="77777777" w:rsidR="003F7855" w:rsidRPr="003F7855" w:rsidRDefault="003F7855" w:rsidP="003F7855">
            <w:pPr>
              <w:spacing w:after="160" w:line="259" w:lineRule="auto"/>
              <w:rPr>
                <w:b/>
              </w:rPr>
            </w:pPr>
            <w:r w:rsidRPr="003F7855">
              <w:t>Rekreative forhold</w:t>
            </w:r>
          </w:p>
        </w:tc>
        <w:tc>
          <w:tcPr>
            <w:tcW w:w="856" w:type="pct"/>
          </w:tcPr>
          <w:p w14:paraId="1CADC3A1" w14:textId="33293034" w:rsidR="003F7855" w:rsidRPr="003F7855" w:rsidRDefault="008A0177" w:rsidP="003F7855">
            <w:pPr>
              <w:spacing w:after="160" w:line="259" w:lineRule="auto"/>
            </w:pPr>
            <w:r>
              <w:t>Brødmosen har stor rekreativ værdi</w:t>
            </w:r>
            <w:r w:rsidR="0089783A">
              <w:t xml:space="preserve"> i tæt bymæssigt bebygget område. Det skal bl.a. vurderes om </w:t>
            </w:r>
            <w:r w:rsidR="00EB4C4A">
              <w:t>projektet giver forøget risiko for oversvømmelse af stier og adgangsforhold til Brødmosen</w:t>
            </w:r>
            <w:r w:rsidR="007F6BA0">
              <w:t xml:space="preserve"> samt forhøjet risiko for oversvømmelse af private naboejendomme til Brødmosen</w:t>
            </w:r>
          </w:p>
        </w:tc>
        <w:tc>
          <w:tcPr>
            <w:tcW w:w="657" w:type="pct"/>
          </w:tcPr>
          <w:p w14:paraId="5136BB73" w14:textId="6750DBA6" w:rsidR="003F7855" w:rsidRPr="003F7855" w:rsidRDefault="003F7855" w:rsidP="003F7855">
            <w:pPr>
              <w:spacing w:after="160" w:line="259" w:lineRule="auto"/>
              <w:rPr>
                <w:bCs/>
              </w:rPr>
            </w:pPr>
            <w:r w:rsidRPr="003F7855">
              <w:rPr>
                <w:bCs/>
              </w:rPr>
              <w:t xml:space="preserve">Emnet vurderes relevant at medtage i </w:t>
            </w:r>
            <w:r w:rsidR="00B81F67">
              <w:rPr>
                <w:bCs/>
              </w:rPr>
              <w:t>m</w:t>
            </w:r>
            <w:r w:rsidRPr="003F7855">
              <w:rPr>
                <w:bCs/>
              </w:rPr>
              <w:t>iljøkonsekvens-rapporten</w:t>
            </w:r>
          </w:p>
        </w:tc>
        <w:tc>
          <w:tcPr>
            <w:tcW w:w="276" w:type="pct"/>
          </w:tcPr>
          <w:p w14:paraId="3BC1FAF4" w14:textId="77777777" w:rsidR="003F7855" w:rsidRPr="003F7855" w:rsidRDefault="003F7855" w:rsidP="003F7855">
            <w:pPr>
              <w:spacing w:after="160" w:line="259" w:lineRule="auto"/>
              <w:rPr>
                <w:b/>
              </w:rPr>
            </w:pPr>
            <w:r w:rsidRPr="003F7855">
              <w:rPr>
                <w:bCs/>
              </w:rPr>
              <w:t>Anlæg og drift</w:t>
            </w:r>
          </w:p>
        </w:tc>
        <w:tc>
          <w:tcPr>
            <w:tcW w:w="964" w:type="pct"/>
          </w:tcPr>
          <w:p w14:paraId="74F97708" w14:textId="3185C2B2" w:rsidR="003F7855" w:rsidRPr="003F7855" w:rsidRDefault="003F7855" w:rsidP="003F7855">
            <w:pPr>
              <w:spacing w:after="160" w:line="259" w:lineRule="auto"/>
            </w:pPr>
            <w:r w:rsidRPr="003F7855">
              <w:t>Beskrivelserne baseres på oplysninger fra kommuneplan</w:t>
            </w:r>
            <w:r w:rsidR="00527828">
              <w:t>en</w:t>
            </w:r>
            <w:r w:rsidRPr="003F7855">
              <w:t xml:space="preserve">, Danmarks Statistik, miljødata.dk, plandata.dk og flyfotos, samt oplysninger fra </w:t>
            </w:r>
            <w:r w:rsidR="008948DE">
              <w:t>igangværende undersøgelser af oversvømmelsesrisiko</w:t>
            </w:r>
            <w:r w:rsidRPr="003F7855">
              <w:t xml:space="preserve">. </w:t>
            </w:r>
          </w:p>
          <w:p w14:paraId="21585888" w14:textId="77777777" w:rsidR="003F7855" w:rsidRPr="003F7855" w:rsidRDefault="003F7855" w:rsidP="003F7855">
            <w:pPr>
              <w:spacing w:after="160" w:line="259" w:lineRule="auto"/>
            </w:pPr>
          </w:p>
          <w:p w14:paraId="55491F2A" w14:textId="77777777" w:rsidR="003F7855" w:rsidRPr="003F7855" w:rsidRDefault="003F7855" w:rsidP="003F7855">
            <w:pPr>
              <w:spacing w:after="160" w:line="259" w:lineRule="auto"/>
              <w:rPr>
                <w:b/>
              </w:rPr>
            </w:pPr>
          </w:p>
        </w:tc>
        <w:tc>
          <w:tcPr>
            <w:tcW w:w="961" w:type="pct"/>
          </w:tcPr>
          <w:p w14:paraId="713D6C37" w14:textId="77777777" w:rsidR="003F7855" w:rsidRPr="003F7855" w:rsidRDefault="003F7855" w:rsidP="003F7855">
            <w:pPr>
              <w:spacing w:after="160" w:line="259" w:lineRule="auto"/>
              <w:rPr>
                <w:b/>
              </w:rPr>
            </w:pPr>
          </w:p>
        </w:tc>
      </w:tr>
      <w:tr w:rsidR="00782F99" w:rsidRPr="003F7855" w14:paraId="365E3114" w14:textId="77777777" w:rsidTr="00DC181C">
        <w:trPr>
          <w:trHeight w:val="596"/>
        </w:trPr>
        <w:tc>
          <w:tcPr>
            <w:tcW w:w="720" w:type="pct"/>
            <w:vMerge/>
          </w:tcPr>
          <w:p w14:paraId="6DAD7D90" w14:textId="77777777" w:rsidR="003F7855" w:rsidRPr="003F7855" w:rsidRDefault="003F7855" w:rsidP="003F7855">
            <w:pPr>
              <w:spacing w:after="160" w:line="259" w:lineRule="auto"/>
              <w:rPr>
                <w:b/>
              </w:rPr>
            </w:pPr>
          </w:p>
        </w:tc>
        <w:tc>
          <w:tcPr>
            <w:tcW w:w="566" w:type="pct"/>
            <w:shd w:val="clear" w:color="auto" w:fill="auto"/>
          </w:tcPr>
          <w:p w14:paraId="33B6E71D" w14:textId="77777777" w:rsidR="003F7855" w:rsidRPr="003F7855" w:rsidRDefault="003F7855" w:rsidP="003F7855">
            <w:pPr>
              <w:spacing w:after="160" w:line="259" w:lineRule="auto"/>
            </w:pPr>
            <w:r w:rsidRPr="003F7855">
              <w:t>Støj og vibrationer</w:t>
            </w:r>
          </w:p>
          <w:p w14:paraId="0ACD094C" w14:textId="77777777" w:rsidR="003F7855" w:rsidRPr="003F7855" w:rsidRDefault="003F7855" w:rsidP="003F7855">
            <w:pPr>
              <w:spacing w:after="160" w:line="259" w:lineRule="auto"/>
              <w:rPr>
                <w:b/>
              </w:rPr>
            </w:pPr>
          </w:p>
        </w:tc>
        <w:tc>
          <w:tcPr>
            <w:tcW w:w="856" w:type="pct"/>
            <w:shd w:val="clear" w:color="auto" w:fill="auto"/>
          </w:tcPr>
          <w:p w14:paraId="76EA6034" w14:textId="247A8A73" w:rsidR="003F7855" w:rsidRPr="003F7855" w:rsidRDefault="003F7855" w:rsidP="003F7855">
            <w:pPr>
              <w:spacing w:after="160" w:line="259" w:lineRule="auto"/>
            </w:pPr>
            <w:r w:rsidRPr="003F7855">
              <w:t xml:space="preserve">Arbejdet med </w:t>
            </w:r>
            <w:r w:rsidR="00C62D55">
              <w:t>forlægning af Brødmoserenden</w:t>
            </w:r>
            <w:r w:rsidRPr="003F7855">
              <w:t xml:space="preserve"> foregår med entreprenørmaskiner og værktøj af støjende karakter. </w:t>
            </w:r>
          </w:p>
          <w:p w14:paraId="0D5DD836" w14:textId="1D17FDF4" w:rsidR="003F7855" w:rsidRPr="003F7855" w:rsidRDefault="003F7855" w:rsidP="00E45122">
            <w:pPr>
              <w:spacing w:after="160" w:line="259" w:lineRule="auto"/>
              <w:rPr>
                <w:b/>
              </w:rPr>
            </w:pPr>
            <w:r w:rsidRPr="003F7855">
              <w:t xml:space="preserve">Støj og vibrationer kan påvirke menneskers sundhed </w:t>
            </w:r>
          </w:p>
        </w:tc>
        <w:tc>
          <w:tcPr>
            <w:tcW w:w="657" w:type="pct"/>
            <w:shd w:val="clear" w:color="auto" w:fill="auto"/>
          </w:tcPr>
          <w:p w14:paraId="643C530D" w14:textId="4C19E23A" w:rsidR="003F7855" w:rsidRPr="003F7855" w:rsidRDefault="003F7855" w:rsidP="003F7855">
            <w:pPr>
              <w:spacing w:after="160" w:line="259" w:lineRule="auto"/>
              <w:rPr>
                <w:bCs/>
              </w:rPr>
            </w:pPr>
            <w:r w:rsidRPr="003F7855">
              <w:rPr>
                <w:bCs/>
              </w:rPr>
              <w:t xml:space="preserve">Emnet vurderes relevant at medtage i </w:t>
            </w:r>
            <w:r w:rsidR="00B81F67">
              <w:rPr>
                <w:bCs/>
              </w:rPr>
              <w:t>m</w:t>
            </w:r>
            <w:r w:rsidRPr="003F7855">
              <w:rPr>
                <w:bCs/>
              </w:rPr>
              <w:t>iljøkonsekvens-rapporten</w:t>
            </w:r>
          </w:p>
        </w:tc>
        <w:tc>
          <w:tcPr>
            <w:tcW w:w="276" w:type="pct"/>
            <w:shd w:val="clear" w:color="auto" w:fill="auto"/>
          </w:tcPr>
          <w:p w14:paraId="794B05D7" w14:textId="77777777" w:rsidR="003F7855" w:rsidRPr="003F7855" w:rsidRDefault="003F7855" w:rsidP="003F7855">
            <w:pPr>
              <w:spacing w:after="160" w:line="259" w:lineRule="auto"/>
              <w:rPr>
                <w:b/>
              </w:rPr>
            </w:pPr>
            <w:r w:rsidRPr="003F7855">
              <w:rPr>
                <w:bCs/>
              </w:rPr>
              <w:t>Anlæg</w:t>
            </w:r>
          </w:p>
        </w:tc>
        <w:tc>
          <w:tcPr>
            <w:tcW w:w="964" w:type="pct"/>
            <w:shd w:val="clear" w:color="auto" w:fill="auto"/>
          </w:tcPr>
          <w:p w14:paraId="4E2C0D6E" w14:textId="6384A7C6" w:rsidR="003F7855" w:rsidRPr="003F7855" w:rsidRDefault="003F7855" w:rsidP="003F7855">
            <w:pPr>
              <w:spacing w:after="160" w:line="259" w:lineRule="auto"/>
            </w:pPr>
            <w:r w:rsidRPr="003F7855">
              <w:t>Der vil blive udført særskilte/særlige beregninger eller gennemført modelkørsler på støj eller vibrationer, da dele af det planlagte anlægsarbejde er nær beboelse.</w:t>
            </w:r>
          </w:p>
          <w:p w14:paraId="0B0C0669" w14:textId="77777777" w:rsidR="003F7855" w:rsidRPr="003F7855" w:rsidRDefault="003F7855" w:rsidP="003F7855">
            <w:pPr>
              <w:spacing w:after="160" w:line="259" w:lineRule="auto"/>
              <w:rPr>
                <w:b/>
              </w:rPr>
            </w:pPr>
            <w:r w:rsidRPr="003F7855">
              <w:t>Der vil ligeledes blive medtaget trafikale opgørelser for området i relation til støj.</w:t>
            </w:r>
          </w:p>
        </w:tc>
        <w:tc>
          <w:tcPr>
            <w:tcW w:w="961" w:type="pct"/>
            <w:shd w:val="clear" w:color="auto" w:fill="auto"/>
          </w:tcPr>
          <w:p w14:paraId="675EAEA0" w14:textId="77777777" w:rsidR="003F7855" w:rsidRPr="003F7855" w:rsidRDefault="003F7855" w:rsidP="003F7855">
            <w:pPr>
              <w:spacing w:after="160" w:line="259" w:lineRule="auto"/>
              <w:rPr>
                <w:b/>
              </w:rPr>
            </w:pPr>
          </w:p>
        </w:tc>
      </w:tr>
      <w:tr w:rsidR="00782F99" w:rsidRPr="003F7855" w14:paraId="57093338" w14:textId="77777777" w:rsidTr="00C62D55">
        <w:trPr>
          <w:trHeight w:val="596"/>
        </w:trPr>
        <w:tc>
          <w:tcPr>
            <w:tcW w:w="720" w:type="pct"/>
            <w:vMerge/>
          </w:tcPr>
          <w:p w14:paraId="568D96E5" w14:textId="77777777" w:rsidR="003F7855" w:rsidRPr="003F7855" w:rsidRDefault="003F7855" w:rsidP="003F7855">
            <w:pPr>
              <w:spacing w:after="160" w:line="259" w:lineRule="auto"/>
              <w:rPr>
                <w:b/>
              </w:rPr>
            </w:pPr>
          </w:p>
        </w:tc>
        <w:tc>
          <w:tcPr>
            <w:tcW w:w="566" w:type="pct"/>
            <w:tcBorders>
              <w:bottom w:val="single" w:sz="4" w:space="0" w:color="auto"/>
            </w:tcBorders>
            <w:shd w:val="clear" w:color="auto" w:fill="auto"/>
          </w:tcPr>
          <w:p w14:paraId="10E2A5BD" w14:textId="77777777" w:rsidR="003F7855" w:rsidRPr="003F7855" w:rsidRDefault="003F7855" w:rsidP="003F7855">
            <w:pPr>
              <w:spacing w:after="160" w:line="259" w:lineRule="auto"/>
              <w:rPr>
                <w:b/>
              </w:rPr>
            </w:pPr>
            <w:r w:rsidRPr="003F7855">
              <w:t>Trafik, herunder adgangsforhold</w:t>
            </w:r>
          </w:p>
        </w:tc>
        <w:tc>
          <w:tcPr>
            <w:tcW w:w="856" w:type="pct"/>
            <w:tcBorders>
              <w:bottom w:val="single" w:sz="4" w:space="0" w:color="auto"/>
            </w:tcBorders>
            <w:shd w:val="clear" w:color="auto" w:fill="auto"/>
          </w:tcPr>
          <w:p w14:paraId="61FCEF44" w14:textId="2296CBD6" w:rsidR="003F7855" w:rsidRPr="003F7855" w:rsidRDefault="003F7855" w:rsidP="003F7855">
            <w:pPr>
              <w:spacing w:after="160" w:line="259" w:lineRule="auto"/>
              <w:rPr>
                <w:b/>
              </w:rPr>
            </w:pPr>
            <w:r w:rsidRPr="003F7855">
              <w:t>Projektet kan i anlægsfasen medføre påvirkninger af adgangsforholdene i projektområdet.</w:t>
            </w:r>
          </w:p>
        </w:tc>
        <w:tc>
          <w:tcPr>
            <w:tcW w:w="657" w:type="pct"/>
            <w:tcBorders>
              <w:bottom w:val="single" w:sz="4" w:space="0" w:color="auto"/>
            </w:tcBorders>
            <w:shd w:val="clear" w:color="auto" w:fill="auto"/>
          </w:tcPr>
          <w:p w14:paraId="3F73F8F7" w14:textId="1E38557E" w:rsidR="003F7855" w:rsidRPr="003F7855" w:rsidRDefault="003F7855" w:rsidP="003F7855">
            <w:pPr>
              <w:spacing w:after="160" w:line="259" w:lineRule="auto"/>
              <w:rPr>
                <w:bCs/>
              </w:rPr>
            </w:pPr>
            <w:r w:rsidRPr="003F7855">
              <w:rPr>
                <w:bCs/>
              </w:rPr>
              <w:t xml:space="preserve">Emnet vurderes relevant at medtage i </w:t>
            </w:r>
            <w:r w:rsidR="00B81F67">
              <w:rPr>
                <w:bCs/>
              </w:rPr>
              <w:t>m</w:t>
            </w:r>
            <w:r w:rsidRPr="003F7855">
              <w:rPr>
                <w:bCs/>
              </w:rPr>
              <w:t>iljøkonsekvens-rapporten</w:t>
            </w:r>
          </w:p>
        </w:tc>
        <w:tc>
          <w:tcPr>
            <w:tcW w:w="276" w:type="pct"/>
            <w:tcBorders>
              <w:bottom w:val="single" w:sz="4" w:space="0" w:color="auto"/>
            </w:tcBorders>
            <w:shd w:val="clear" w:color="auto" w:fill="auto"/>
          </w:tcPr>
          <w:p w14:paraId="5CBD81FE" w14:textId="34D75214" w:rsidR="003F7855" w:rsidRPr="007D68DD" w:rsidRDefault="003F7855" w:rsidP="003F7855">
            <w:pPr>
              <w:spacing w:after="160" w:line="259" w:lineRule="auto"/>
              <w:rPr>
                <w:bCs/>
              </w:rPr>
            </w:pPr>
            <w:r w:rsidRPr="003F7855">
              <w:rPr>
                <w:bCs/>
              </w:rPr>
              <w:t>Anlæg</w:t>
            </w:r>
          </w:p>
        </w:tc>
        <w:tc>
          <w:tcPr>
            <w:tcW w:w="964" w:type="pct"/>
            <w:tcBorders>
              <w:bottom w:val="single" w:sz="4" w:space="0" w:color="auto"/>
            </w:tcBorders>
            <w:shd w:val="clear" w:color="auto" w:fill="auto"/>
          </w:tcPr>
          <w:p w14:paraId="6D30D186" w14:textId="0DB71EA4" w:rsidR="003F7855" w:rsidRPr="003F7855" w:rsidRDefault="003F7855" w:rsidP="003F7855">
            <w:pPr>
              <w:spacing w:after="160" w:line="259" w:lineRule="auto"/>
            </w:pPr>
          </w:p>
          <w:p w14:paraId="04E3033C" w14:textId="77777777" w:rsidR="003F7855" w:rsidRPr="003F7855" w:rsidRDefault="003F7855" w:rsidP="003F7855">
            <w:pPr>
              <w:spacing w:after="160" w:line="259" w:lineRule="auto"/>
              <w:rPr>
                <w:b/>
              </w:rPr>
            </w:pPr>
          </w:p>
        </w:tc>
        <w:tc>
          <w:tcPr>
            <w:tcW w:w="961" w:type="pct"/>
            <w:tcBorders>
              <w:bottom w:val="single" w:sz="4" w:space="0" w:color="auto"/>
            </w:tcBorders>
            <w:shd w:val="clear" w:color="auto" w:fill="auto"/>
          </w:tcPr>
          <w:p w14:paraId="13FFCA86" w14:textId="77777777" w:rsidR="003F7855" w:rsidRPr="003F7855" w:rsidRDefault="003F7855" w:rsidP="003F7855">
            <w:pPr>
              <w:spacing w:after="160" w:line="259" w:lineRule="auto"/>
              <w:rPr>
                <w:b/>
              </w:rPr>
            </w:pPr>
          </w:p>
        </w:tc>
      </w:tr>
      <w:tr w:rsidR="00782F99" w:rsidRPr="003F7855" w14:paraId="673B4FBB" w14:textId="77777777" w:rsidTr="00475E24">
        <w:trPr>
          <w:trHeight w:val="596"/>
        </w:trPr>
        <w:tc>
          <w:tcPr>
            <w:tcW w:w="720" w:type="pct"/>
            <w:vMerge/>
          </w:tcPr>
          <w:p w14:paraId="16FEE28F" w14:textId="77777777" w:rsidR="003F7855" w:rsidRPr="003F7855" w:rsidRDefault="003F7855" w:rsidP="003F7855">
            <w:pPr>
              <w:spacing w:after="160" w:line="259" w:lineRule="auto"/>
              <w:rPr>
                <w:b/>
              </w:rPr>
            </w:pPr>
          </w:p>
        </w:tc>
        <w:tc>
          <w:tcPr>
            <w:tcW w:w="566" w:type="pct"/>
            <w:tcBorders>
              <w:bottom w:val="single" w:sz="4" w:space="0" w:color="auto"/>
            </w:tcBorders>
            <w:shd w:val="clear" w:color="auto" w:fill="auto"/>
          </w:tcPr>
          <w:p w14:paraId="4B463B0D" w14:textId="77777777" w:rsidR="003F7855" w:rsidRPr="00B94BB1" w:rsidRDefault="003F7855" w:rsidP="003F7855">
            <w:pPr>
              <w:spacing w:after="160" w:line="259" w:lineRule="auto"/>
            </w:pPr>
            <w:r w:rsidRPr="00B94BB1">
              <w:t>Emissioner og støv</w:t>
            </w:r>
          </w:p>
          <w:p w14:paraId="605436EA" w14:textId="77777777" w:rsidR="003F7855" w:rsidRPr="00B94BB1" w:rsidRDefault="003F7855" w:rsidP="003F7855">
            <w:pPr>
              <w:spacing w:after="160" w:line="259" w:lineRule="auto"/>
            </w:pPr>
          </w:p>
        </w:tc>
        <w:tc>
          <w:tcPr>
            <w:tcW w:w="856" w:type="pct"/>
            <w:tcBorders>
              <w:bottom w:val="single" w:sz="4" w:space="0" w:color="auto"/>
            </w:tcBorders>
            <w:shd w:val="clear" w:color="auto" w:fill="auto"/>
          </w:tcPr>
          <w:p w14:paraId="19CB9D01" w14:textId="6399278D" w:rsidR="003F7855" w:rsidRPr="00B94BB1" w:rsidRDefault="00241F3D" w:rsidP="003F7855">
            <w:pPr>
              <w:spacing w:after="160" w:line="259" w:lineRule="auto"/>
            </w:pPr>
            <w:r>
              <w:t xml:space="preserve">Projektet </w:t>
            </w:r>
            <w:r w:rsidR="00DC080F">
              <w:t>medfører opgravning og mellemdeponering af jord i anlægsfasen</w:t>
            </w:r>
            <w:r w:rsidR="00D53CC1">
              <w:t>, som kan give midlertidige påvirkninger af emissioner og støv for de tilgrænsende boligbebyggelser og skolen</w:t>
            </w:r>
          </w:p>
        </w:tc>
        <w:tc>
          <w:tcPr>
            <w:tcW w:w="657" w:type="pct"/>
            <w:tcBorders>
              <w:bottom w:val="single" w:sz="4" w:space="0" w:color="auto"/>
            </w:tcBorders>
            <w:shd w:val="clear" w:color="auto" w:fill="auto"/>
          </w:tcPr>
          <w:p w14:paraId="3352FBB7" w14:textId="0442C1CF" w:rsidR="003F7855" w:rsidRPr="00B94BB1" w:rsidRDefault="003F7855" w:rsidP="003F7855">
            <w:pPr>
              <w:spacing w:after="160" w:line="259" w:lineRule="auto"/>
            </w:pPr>
            <w:r w:rsidRPr="00B94BB1">
              <w:rPr>
                <w:bCs/>
              </w:rPr>
              <w:t xml:space="preserve">Emnet vurderes relevant at medtage i </w:t>
            </w:r>
            <w:r w:rsidR="00B81F67" w:rsidRPr="00B94BB1">
              <w:rPr>
                <w:bCs/>
              </w:rPr>
              <w:t>m</w:t>
            </w:r>
            <w:r w:rsidRPr="00B94BB1">
              <w:rPr>
                <w:bCs/>
              </w:rPr>
              <w:t>iljøkonsekvens-rapporten</w:t>
            </w:r>
          </w:p>
        </w:tc>
        <w:tc>
          <w:tcPr>
            <w:tcW w:w="276" w:type="pct"/>
            <w:tcBorders>
              <w:bottom w:val="single" w:sz="4" w:space="0" w:color="auto"/>
            </w:tcBorders>
            <w:shd w:val="clear" w:color="auto" w:fill="auto"/>
          </w:tcPr>
          <w:p w14:paraId="118F78D8" w14:textId="77777777" w:rsidR="003F7855" w:rsidRPr="00B94BB1" w:rsidRDefault="003F7855" w:rsidP="003F7855">
            <w:pPr>
              <w:spacing w:after="160" w:line="259" w:lineRule="auto"/>
              <w:rPr>
                <w:bCs/>
              </w:rPr>
            </w:pPr>
            <w:r w:rsidRPr="00B94BB1">
              <w:rPr>
                <w:bCs/>
              </w:rPr>
              <w:t>Anlæg</w:t>
            </w:r>
          </w:p>
        </w:tc>
        <w:tc>
          <w:tcPr>
            <w:tcW w:w="964" w:type="pct"/>
            <w:tcBorders>
              <w:bottom w:val="single" w:sz="4" w:space="0" w:color="auto"/>
            </w:tcBorders>
            <w:shd w:val="clear" w:color="auto" w:fill="auto"/>
          </w:tcPr>
          <w:p w14:paraId="661C7837" w14:textId="49BD8954" w:rsidR="0053478D" w:rsidRPr="0053478D" w:rsidRDefault="0053478D" w:rsidP="0053478D">
            <w:pPr>
              <w:spacing w:after="160" w:line="259" w:lineRule="auto"/>
              <w:rPr>
                <w:bCs/>
              </w:rPr>
            </w:pPr>
            <w:r w:rsidRPr="0053478D">
              <w:rPr>
                <w:bCs/>
              </w:rPr>
              <w:t xml:space="preserve">Der vil blive udført særskilte/særlige beregninger eller gennemført modelkørsler på </w:t>
            </w:r>
            <w:r w:rsidRPr="00E45122">
              <w:rPr>
                <w:bCs/>
              </w:rPr>
              <w:t>emissioner og støv</w:t>
            </w:r>
            <w:r w:rsidRPr="0053478D">
              <w:rPr>
                <w:bCs/>
              </w:rPr>
              <w:t>, da dele af det planlagte anlægsarbejde er nær beboelse.</w:t>
            </w:r>
          </w:p>
          <w:p w14:paraId="481BB662" w14:textId="60153648" w:rsidR="003F7855" w:rsidRPr="00B94BB1" w:rsidRDefault="003F7855" w:rsidP="003F7855">
            <w:pPr>
              <w:spacing w:after="160" w:line="259" w:lineRule="auto"/>
              <w:rPr>
                <w:b/>
              </w:rPr>
            </w:pPr>
          </w:p>
        </w:tc>
        <w:tc>
          <w:tcPr>
            <w:tcW w:w="961" w:type="pct"/>
            <w:tcBorders>
              <w:bottom w:val="single" w:sz="4" w:space="0" w:color="auto"/>
            </w:tcBorders>
            <w:shd w:val="clear" w:color="auto" w:fill="auto"/>
          </w:tcPr>
          <w:p w14:paraId="6A30A51E" w14:textId="00606661" w:rsidR="003F7855" w:rsidRPr="00B94BB1" w:rsidRDefault="003F7855" w:rsidP="003F7855">
            <w:pPr>
              <w:spacing w:after="160" w:line="259" w:lineRule="auto"/>
            </w:pPr>
          </w:p>
        </w:tc>
      </w:tr>
      <w:tr w:rsidR="00507FD5" w:rsidRPr="003F7855" w14:paraId="03486C1E" w14:textId="77777777" w:rsidTr="00475E24">
        <w:trPr>
          <w:trHeight w:val="596"/>
        </w:trPr>
        <w:tc>
          <w:tcPr>
            <w:tcW w:w="720" w:type="pct"/>
            <w:vMerge/>
          </w:tcPr>
          <w:p w14:paraId="696E9EFC" w14:textId="77777777" w:rsidR="003F7855" w:rsidRPr="003F7855" w:rsidRDefault="003F7855" w:rsidP="003F7855">
            <w:pPr>
              <w:spacing w:after="160" w:line="259" w:lineRule="auto"/>
              <w:rPr>
                <w:b/>
              </w:rPr>
            </w:pPr>
          </w:p>
        </w:tc>
        <w:tc>
          <w:tcPr>
            <w:tcW w:w="566" w:type="pct"/>
            <w:shd w:val="clear" w:color="auto" w:fill="D9D9D9" w:themeFill="background1" w:themeFillShade="D9"/>
          </w:tcPr>
          <w:p w14:paraId="53D61285" w14:textId="77777777" w:rsidR="003F7855" w:rsidRPr="003F7855" w:rsidRDefault="003F7855" w:rsidP="003F7855">
            <w:pPr>
              <w:spacing w:after="160" w:line="259" w:lineRule="auto"/>
            </w:pPr>
            <w:r w:rsidRPr="003F7855">
              <w:t>Uheld/ulykker</w:t>
            </w:r>
          </w:p>
        </w:tc>
        <w:tc>
          <w:tcPr>
            <w:tcW w:w="856" w:type="pct"/>
            <w:shd w:val="clear" w:color="auto" w:fill="D9D9D9" w:themeFill="background1" w:themeFillShade="D9"/>
          </w:tcPr>
          <w:p w14:paraId="56916483" w14:textId="77777777" w:rsidR="003F7855" w:rsidRPr="003F7855" w:rsidRDefault="003F7855" w:rsidP="003F7855">
            <w:pPr>
              <w:spacing w:after="160" w:line="259" w:lineRule="auto"/>
            </w:pPr>
            <w:r w:rsidRPr="003F7855">
              <w:t>Projektet øger ikke risikoen for uheld eller ulykker</w:t>
            </w:r>
          </w:p>
        </w:tc>
        <w:tc>
          <w:tcPr>
            <w:tcW w:w="657" w:type="pct"/>
            <w:shd w:val="clear" w:color="auto" w:fill="D9D9D9" w:themeFill="background1" w:themeFillShade="D9"/>
          </w:tcPr>
          <w:p w14:paraId="22C9DA85" w14:textId="65DB4874" w:rsidR="003F7855" w:rsidRPr="003F7855" w:rsidRDefault="003F7855" w:rsidP="003F7855">
            <w:pPr>
              <w:spacing w:after="160" w:line="259" w:lineRule="auto"/>
            </w:pPr>
            <w:r w:rsidRPr="003F7855">
              <w:rPr>
                <w:bCs/>
              </w:rPr>
              <w:t xml:space="preserve">Emnet vurderes ikke relevant at medtage i </w:t>
            </w:r>
            <w:r w:rsidR="00B81F67">
              <w:rPr>
                <w:bCs/>
              </w:rPr>
              <w:t>m</w:t>
            </w:r>
            <w:r w:rsidRPr="003F7855">
              <w:rPr>
                <w:bCs/>
              </w:rPr>
              <w:t>iljøkonsekvens-rapporten</w:t>
            </w:r>
          </w:p>
        </w:tc>
        <w:tc>
          <w:tcPr>
            <w:tcW w:w="276" w:type="pct"/>
            <w:shd w:val="clear" w:color="auto" w:fill="D9D9D9" w:themeFill="background1" w:themeFillShade="D9"/>
          </w:tcPr>
          <w:p w14:paraId="34D0ED7E" w14:textId="77777777" w:rsidR="003F7855" w:rsidRPr="003F7855" w:rsidRDefault="003F7855" w:rsidP="003F7855">
            <w:pPr>
              <w:spacing w:after="160" w:line="259" w:lineRule="auto"/>
              <w:rPr>
                <w:bCs/>
              </w:rPr>
            </w:pPr>
          </w:p>
        </w:tc>
        <w:tc>
          <w:tcPr>
            <w:tcW w:w="964" w:type="pct"/>
            <w:shd w:val="clear" w:color="auto" w:fill="D9D9D9" w:themeFill="background1" w:themeFillShade="D9"/>
          </w:tcPr>
          <w:p w14:paraId="4E33D80F" w14:textId="77777777" w:rsidR="003F7855" w:rsidRPr="003F7855" w:rsidRDefault="003F7855" w:rsidP="003F7855">
            <w:pPr>
              <w:spacing w:after="160" w:line="259" w:lineRule="auto"/>
            </w:pPr>
          </w:p>
        </w:tc>
        <w:tc>
          <w:tcPr>
            <w:tcW w:w="961" w:type="pct"/>
            <w:shd w:val="clear" w:color="auto" w:fill="D9D9D9" w:themeFill="background1" w:themeFillShade="D9"/>
          </w:tcPr>
          <w:p w14:paraId="35F496C2" w14:textId="77777777" w:rsidR="003F7855" w:rsidRPr="003F7855" w:rsidRDefault="003F7855" w:rsidP="003F7855">
            <w:pPr>
              <w:spacing w:after="160" w:line="259" w:lineRule="auto"/>
            </w:pPr>
          </w:p>
        </w:tc>
      </w:tr>
      <w:tr w:rsidR="00782F99" w:rsidRPr="003F7855" w14:paraId="4C388978" w14:textId="77777777" w:rsidTr="0079343F">
        <w:trPr>
          <w:trHeight w:val="2479"/>
        </w:trPr>
        <w:tc>
          <w:tcPr>
            <w:tcW w:w="720" w:type="pct"/>
            <w:vMerge w:val="restart"/>
          </w:tcPr>
          <w:p w14:paraId="0C6873FF" w14:textId="4B9FC266" w:rsidR="00641CDA" w:rsidRPr="003F7855" w:rsidRDefault="006612E8" w:rsidP="003F7855">
            <w:pPr>
              <w:spacing w:after="160" w:line="259" w:lineRule="auto"/>
              <w:rPr>
                <w:b/>
              </w:rPr>
            </w:pPr>
            <w:r>
              <w:rPr>
                <w:b/>
              </w:rPr>
              <w:lastRenderedPageBreak/>
              <w:t>Den biologiske mangfoldighed</w:t>
            </w:r>
          </w:p>
        </w:tc>
        <w:tc>
          <w:tcPr>
            <w:tcW w:w="566" w:type="pct"/>
          </w:tcPr>
          <w:p w14:paraId="1E36C0DA" w14:textId="37D514E8" w:rsidR="00641CDA" w:rsidRPr="003F7855" w:rsidRDefault="00641CDA" w:rsidP="003C5973">
            <w:pPr>
              <w:spacing w:after="160" w:line="259" w:lineRule="auto"/>
            </w:pPr>
            <w:r w:rsidRPr="003F7855">
              <w:t>§3 beskyttet natur</w:t>
            </w:r>
          </w:p>
        </w:tc>
        <w:tc>
          <w:tcPr>
            <w:tcW w:w="856" w:type="pct"/>
          </w:tcPr>
          <w:p w14:paraId="0018100A" w14:textId="38F58E61" w:rsidR="00641CDA" w:rsidRDefault="00641CDA" w:rsidP="00F80378">
            <w:pPr>
              <w:spacing w:after="160" w:line="259" w:lineRule="auto"/>
            </w:pPr>
            <w:r>
              <w:t xml:space="preserve">Brødmosen er udpeget som </w:t>
            </w:r>
            <w:r w:rsidR="00EE2219">
              <w:t xml:space="preserve">beskyttet </w:t>
            </w:r>
            <w:r>
              <w:t xml:space="preserve">mose og i alt 5 søer, herunder </w:t>
            </w:r>
            <w:r w:rsidR="007B4375">
              <w:t>sandfang</w:t>
            </w:r>
            <w:r w:rsidR="00EE2219">
              <w:t>sbassin</w:t>
            </w:r>
            <w:r w:rsidR="007B4375">
              <w:t>et for enden af Brødmoserenden,</w:t>
            </w:r>
            <w:r>
              <w:t xml:space="preserve"> er udpeget som </w:t>
            </w:r>
            <w:r w:rsidR="00EE2219">
              <w:t xml:space="preserve">beskyttet </w:t>
            </w:r>
            <w:r>
              <w:t>sø</w:t>
            </w:r>
            <w:r w:rsidR="007B4375">
              <w:t>.</w:t>
            </w:r>
          </w:p>
          <w:p w14:paraId="1E5FFF02" w14:textId="27CC5D90" w:rsidR="001A6D16" w:rsidRPr="003F7855" w:rsidRDefault="00682A6B" w:rsidP="00F80378">
            <w:pPr>
              <w:spacing w:after="160" w:line="259" w:lineRule="auto"/>
            </w:pPr>
            <w:r>
              <w:t>P</w:t>
            </w:r>
            <w:r w:rsidR="001A6D16">
              <w:t>rojektet medfører jævnlige oversvømmelser af de</w:t>
            </w:r>
            <w:r>
              <w:t xml:space="preserve"> beskyttede områder med </w:t>
            </w:r>
            <w:r w:rsidR="00EE2219">
              <w:t>separatkloakeret regn</w:t>
            </w:r>
            <w:r>
              <w:t>vand fra industri, veje</w:t>
            </w:r>
            <w:r w:rsidR="00EE2219">
              <w:t>, tage</w:t>
            </w:r>
            <w:r>
              <w:t xml:space="preserve"> mv.</w:t>
            </w:r>
          </w:p>
        </w:tc>
        <w:tc>
          <w:tcPr>
            <w:tcW w:w="657" w:type="pct"/>
          </w:tcPr>
          <w:p w14:paraId="63C6AEF7" w14:textId="07AB33AE" w:rsidR="00641CDA" w:rsidRPr="003F7855" w:rsidRDefault="00641CDA" w:rsidP="00313E4E">
            <w:pPr>
              <w:spacing w:after="160" w:line="259" w:lineRule="auto"/>
            </w:pPr>
            <w:r w:rsidRPr="003F7855">
              <w:rPr>
                <w:bCs/>
              </w:rPr>
              <w:t xml:space="preserve">Emnet vurderes relevant at medtage i </w:t>
            </w:r>
            <w:r>
              <w:rPr>
                <w:bCs/>
              </w:rPr>
              <w:t>m</w:t>
            </w:r>
            <w:r w:rsidRPr="003F7855">
              <w:rPr>
                <w:bCs/>
              </w:rPr>
              <w:t>iljøkonsekvens-rapporten</w:t>
            </w:r>
          </w:p>
        </w:tc>
        <w:tc>
          <w:tcPr>
            <w:tcW w:w="276" w:type="pct"/>
          </w:tcPr>
          <w:p w14:paraId="58331F42" w14:textId="630B470C" w:rsidR="00641CDA" w:rsidRPr="003F7855" w:rsidRDefault="00641CDA" w:rsidP="003511CD">
            <w:pPr>
              <w:spacing w:after="160" w:line="259" w:lineRule="auto"/>
              <w:rPr>
                <w:bCs/>
              </w:rPr>
            </w:pPr>
            <w:r w:rsidRPr="003F7855">
              <w:rPr>
                <w:bCs/>
              </w:rPr>
              <w:t>Anlæg og drift</w:t>
            </w:r>
          </w:p>
        </w:tc>
        <w:tc>
          <w:tcPr>
            <w:tcW w:w="964" w:type="pct"/>
          </w:tcPr>
          <w:p w14:paraId="242A4475" w14:textId="5894283A" w:rsidR="00641CDA" w:rsidRPr="003F7855" w:rsidRDefault="00641CDA" w:rsidP="00A76A2E">
            <w:pPr>
              <w:spacing w:after="160" w:line="259" w:lineRule="auto"/>
            </w:pPr>
            <w:r w:rsidRPr="003F7855">
              <w:t xml:space="preserve">Der indhentes relevant data fra bl.a. </w:t>
            </w:r>
            <w:r w:rsidR="000F5950">
              <w:t>M</w:t>
            </w:r>
            <w:r w:rsidRPr="003F7855">
              <w:t>iljø</w:t>
            </w:r>
            <w:r w:rsidR="000F5950">
              <w:t>GIS</w:t>
            </w:r>
            <w:r w:rsidRPr="003F7855">
              <w:t xml:space="preserve">, Danmarks miljøportal, </w:t>
            </w:r>
            <w:r w:rsidR="000F5950">
              <w:t>Greve</w:t>
            </w:r>
            <w:r w:rsidRPr="003F7855">
              <w:t xml:space="preserve"> Kommunes kommuneplan </w:t>
            </w:r>
            <w:r w:rsidR="000F5950">
              <w:t>m</w:t>
            </w:r>
            <w:r w:rsidRPr="003F7855">
              <w:t xml:space="preserve">m. </w:t>
            </w:r>
          </w:p>
        </w:tc>
        <w:tc>
          <w:tcPr>
            <w:tcW w:w="961" w:type="pct"/>
          </w:tcPr>
          <w:p w14:paraId="049110A7" w14:textId="1B227190" w:rsidR="00641CDA" w:rsidRPr="003F7855" w:rsidRDefault="00641CDA" w:rsidP="0079343F">
            <w:pPr>
              <w:spacing w:after="160" w:line="259" w:lineRule="auto"/>
            </w:pPr>
          </w:p>
        </w:tc>
      </w:tr>
      <w:tr w:rsidR="00782F99" w:rsidRPr="003F7855" w14:paraId="40A5DD61" w14:textId="77777777" w:rsidTr="00DC181C">
        <w:trPr>
          <w:trHeight w:val="596"/>
        </w:trPr>
        <w:tc>
          <w:tcPr>
            <w:tcW w:w="720" w:type="pct"/>
            <w:vMerge/>
          </w:tcPr>
          <w:p w14:paraId="0AA11F13" w14:textId="77777777" w:rsidR="003F7855" w:rsidRPr="003F7855" w:rsidRDefault="003F7855" w:rsidP="003F7855">
            <w:pPr>
              <w:spacing w:after="160" w:line="259" w:lineRule="auto"/>
              <w:rPr>
                <w:b/>
              </w:rPr>
            </w:pPr>
          </w:p>
        </w:tc>
        <w:tc>
          <w:tcPr>
            <w:tcW w:w="566" w:type="pct"/>
          </w:tcPr>
          <w:p w14:paraId="6231E1A9" w14:textId="77777777" w:rsidR="003F7855" w:rsidRPr="003F7855" w:rsidRDefault="003F7855" w:rsidP="003F7855">
            <w:pPr>
              <w:spacing w:after="160" w:line="259" w:lineRule="auto"/>
            </w:pPr>
            <w:r w:rsidRPr="003F7855">
              <w:t>Dyreliv</w:t>
            </w:r>
          </w:p>
        </w:tc>
        <w:tc>
          <w:tcPr>
            <w:tcW w:w="856" w:type="pct"/>
          </w:tcPr>
          <w:p w14:paraId="2EAAEE5B" w14:textId="328891F0" w:rsidR="003F7855" w:rsidRPr="003F7855" w:rsidRDefault="003F7855" w:rsidP="003F7855">
            <w:pPr>
              <w:spacing w:after="160" w:line="259" w:lineRule="auto"/>
            </w:pPr>
            <w:r w:rsidRPr="003F7855">
              <w:t xml:space="preserve">Der er registreret bilag IV-arter i </w:t>
            </w:r>
            <w:r w:rsidR="00A5276E">
              <w:t>Brødmosen</w:t>
            </w:r>
            <w:r w:rsidR="00CB601F">
              <w:t xml:space="preserve">, herunder </w:t>
            </w:r>
            <w:r w:rsidR="00AF5AB6">
              <w:t>spidssnudet frø, stor vandsalamander</w:t>
            </w:r>
            <w:r w:rsidR="001332DF">
              <w:t xml:space="preserve">, </w:t>
            </w:r>
            <w:r w:rsidR="00AF5AB6">
              <w:t>forskellige arter af flagermus</w:t>
            </w:r>
            <w:r w:rsidR="001332DF">
              <w:t xml:space="preserve">, </w:t>
            </w:r>
            <w:r w:rsidR="00521781">
              <w:t>l</w:t>
            </w:r>
            <w:r w:rsidR="001332DF" w:rsidRPr="001332DF">
              <w:t xml:space="preserve">ys </w:t>
            </w:r>
            <w:r w:rsidR="00521781">
              <w:t>s</w:t>
            </w:r>
            <w:r w:rsidR="001332DF" w:rsidRPr="001332DF">
              <w:t xml:space="preserve">kivevandkalv og </w:t>
            </w:r>
            <w:r w:rsidR="00521781">
              <w:t>b</w:t>
            </w:r>
            <w:r w:rsidR="001332DF" w:rsidRPr="001332DF">
              <w:t>red vandkalv</w:t>
            </w:r>
            <w:r w:rsidR="001332DF">
              <w:t>.</w:t>
            </w:r>
          </w:p>
          <w:p w14:paraId="48D981F8" w14:textId="77777777" w:rsidR="003F7855" w:rsidRPr="003F7855" w:rsidRDefault="003F7855" w:rsidP="001A6D16"/>
        </w:tc>
        <w:tc>
          <w:tcPr>
            <w:tcW w:w="657" w:type="pct"/>
          </w:tcPr>
          <w:p w14:paraId="5B5BE9EC" w14:textId="100CAF57" w:rsidR="003F7855" w:rsidRPr="003F7855" w:rsidRDefault="003F7855" w:rsidP="003F7855">
            <w:pPr>
              <w:spacing w:after="160" w:line="259" w:lineRule="auto"/>
            </w:pPr>
            <w:r w:rsidRPr="003F7855">
              <w:rPr>
                <w:bCs/>
              </w:rPr>
              <w:t xml:space="preserve">Emnet vurderes relevant at medtage i </w:t>
            </w:r>
            <w:r w:rsidR="00B81F67">
              <w:rPr>
                <w:bCs/>
              </w:rPr>
              <w:t>m</w:t>
            </w:r>
            <w:r w:rsidRPr="003F7855">
              <w:rPr>
                <w:bCs/>
              </w:rPr>
              <w:t>iljøkonsekvens-rapporten</w:t>
            </w:r>
          </w:p>
        </w:tc>
        <w:tc>
          <w:tcPr>
            <w:tcW w:w="276" w:type="pct"/>
          </w:tcPr>
          <w:p w14:paraId="7029F2F9" w14:textId="77777777" w:rsidR="003F7855" w:rsidRPr="003F7855" w:rsidRDefault="003F7855" w:rsidP="003F7855">
            <w:pPr>
              <w:spacing w:after="160" w:line="259" w:lineRule="auto"/>
              <w:rPr>
                <w:bCs/>
              </w:rPr>
            </w:pPr>
            <w:r w:rsidRPr="003F7855">
              <w:rPr>
                <w:bCs/>
              </w:rPr>
              <w:t>Anlæg og drift</w:t>
            </w:r>
          </w:p>
        </w:tc>
        <w:tc>
          <w:tcPr>
            <w:tcW w:w="964" w:type="pct"/>
          </w:tcPr>
          <w:p w14:paraId="5A427CEE" w14:textId="122DFF2D" w:rsidR="003F7855" w:rsidRPr="003F7855" w:rsidRDefault="003F7855" w:rsidP="003F7855">
            <w:pPr>
              <w:spacing w:after="160" w:line="259" w:lineRule="auto"/>
            </w:pPr>
            <w:r w:rsidRPr="003F7855">
              <w:t xml:space="preserve">Projektets betydning for Bilag IV-dyrearter skal beskrives og vurderes, både i anlægs- og driftsfasen. </w:t>
            </w:r>
          </w:p>
          <w:p w14:paraId="4E54FFB9" w14:textId="46D81442" w:rsidR="003F7855" w:rsidRDefault="003F7855" w:rsidP="003F7855">
            <w:pPr>
              <w:spacing w:after="160" w:line="259" w:lineRule="auto"/>
            </w:pPr>
            <w:r w:rsidRPr="003F7855">
              <w:t>Bilag IV-</w:t>
            </w:r>
            <w:r w:rsidR="00A14C29">
              <w:t>art</w:t>
            </w:r>
            <w:r w:rsidRPr="003F7855">
              <w:t>er som spidssnudet frø</w:t>
            </w:r>
            <w:r w:rsidR="00521781">
              <w:t>, s</w:t>
            </w:r>
            <w:r w:rsidRPr="003F7855">
              <w:t xml:space="preserve">tor </w:t>
            </w:r>
            <w:r w:rsidR="00A14C29" w:rsidRPr="003F7855">
              <w:t>vandsalamander</w:t>
            </w:r>
            <w:r w:rsidR="00A14C29">
              <w:t>, lys</w:t>
            </w:r>
            <w:r w:rsidR="00521781" w:rsidRPr="00521781">
              <w:t xml:space="preserve"> </w:t>
            </w:r>
            <w:r w:rsidR="00521781">
              <w:t>s</w:t>
            </w:r>
            <w:r w:rsidR="00521781" w:rsidRPr="00521781">
              <w:t xml:space="preserve">kivevandkalv og </w:t>
            </w:r>
            <w:r w:rsidR="00521781">
              <w:t>b</w:t>
            </w:r>
            <w:r w:rsidR="00521781" w:rsidRPr="00521781">
              <w:t xml:space="preserve">red vandkalv </w:t>
            </w:r>
            <w:r w:rsidRPr="003F7855">
              <w:t xml:space="preserve">kan potentielt få påvirket deres habitat </w:t>
            </w:r>
            <w:r w:rsidR="000F53AC">
              <w:t xml:space="preserve">og bevaringsstatus </w:t>
            </w:r>
            <w:r w:rsidRPr="003F7855">
              <w:t xml:space="preserve">af </w:t>
            </w:r>
            <w:r w:rsidR="000F53AC">
              <w:t>anlægsarbejderne samt af oversvømmelser i projektets driftsfase</w:t>
            </w:r>
            <w:r w:rsidRPr="003F7855">
              <w:t xml:space="preserve">. </w:t>
            </w:r>
          </w:p>
          <w:p w14:paraId="43BF9253" w14:textId="11401726" w:rsidR="00AF5AB6" w:rsidRPr="003F7855" w:rsidRDefault="00AF5AB6" w:rsidP="003F7855">
            <w:pPr>
              <w:spacing w:after="160" w:line="259" w:lineRule="auto"/>
            </w:pPr>
            <w:r>
              <w:t xml:space="preserve">Flagermus kan potentielt blive påvirket ved behov for fældning af </w:t>
            </w:r>
            <w:r w:rsidR="0093310D">
              <w:t>rede</w:t>
            </w:r>
            <w:r>
              <w:t>træer</w:t>
            </w:r>
            <w:r w:rsidR="0093310D">
              <w:t>.</w:t>
            </w:r>
          </w:p>
        </w:tc>
        <w:tc>
          <w:tcPr>
            <w:tcW w:w="961" w:type="pct"/>
          </w:tcPr>
          <w:p w14:paraId="275D4828" w14:textId="49ECC4F4" w:rsidR="003F7855" w:rsidRPr="003F7855" w:rsidRDefault="003F7855" w:rsidP="003F7855">
            <w:pPr>
              <w:spacing w:after="160" w:line="259" w:lineRule="auto"/>
            </w:pPr>
          </w:p>
        </w:tc>
      </w:tr>
      <w:tr w:rsidR="00782F99" w:rsidRPr="003F7855" w14:paraId="1B1CC8B9" w14:textId="77777777" w:rsidTr="00DC181C">
        <w:trPr>
          <w:trHeight w:val="596"/>
        </w:trPr>
        <w:tc>
          <w:tcPr>
            <w:tcW w:w="720" w:type="pct"/>
          </w:tcPr>
          <w:p w14:paraId="4C8AE0FE" w14:textId="77777777" w:rsidR="00BC29BD" w:rsidRPr="003F7855" w:rsidRDefault="00BC29BD" w:rsidP="003F7855">
            <w:pPr>
              <w:rPr>
                <w:b/>
              </w:rPr>
            </w:pPr>
          </w:p>
        </w:tc>
        <w:tc>
          <w:tcPr>
            <w:tcW w:w="566" w:type="pct"/>
          </w:tcPr>
          <w:p w14:paraId="06E6441F" w14:textId="36E48123" w:rsidR="00BC29BD" w:rsidRPr="003F7855" w:rsidRDefault="00BC29BD" w:rsidP="003F7855">
            <w:r>
              <w:t>Svampe</w:t>
            </w:r>
          </w:p>
        </w:tc>
        <w:tc>
          <w:tcPr>
            <w:tcW w:w="856" w:type="pct"/>
          </w:tcPr>
          <w:p w14:paraId="4AD0168D" w14:textId="3D5478B7" w:rsidR="00BC29BD" w:rsidRPr="003F7855" w:rsidRDefault="00BC29BD" w:rsidP="003F7855">
            <w:r>
              <w:t>Der er registreret 2 rødlistede svampe i Brødmosen</w:t>
            </w:r>
          </w:p>
        </w:tc>
        <w:tc>
          <w:tcPr>
            <w:tcW w:w="657" w:type="pct"/>
          </w:tcPr>
          <w:p w14:paraId="2BFE0F64" w14:textId="7F8CFB82" w:rsidR="00BC29BD" w:rsidRPr="003F7855" w:rsidRDefault="00BC29BD" w:rsidP="003F7855">
            <w:pPr>
              <w:rPr>
                <w:bCs/>
              </w:rPr>
            </w:pPr>
            <w:r w:rsidRPr="00BC29BD">
              <w:rPr>
                <w:bCs/>
              </w:rPr>
              <w:t>Emnet vurderes relevant at medtage i miljøkonsekvens-rapporten</w:t>
            </w:r>
          </w:p>
        </w:tc>
        <w:tc>
          <w:tcPr>
            <w:tcW w:w="276" w:type="pct"/>
          </w:tcPr>
          <w:p w14:paraId="4CA145F2" w14:textId="73FD6F0B" w:rsidR="00BC29BD" w:rsidRPr="003F7855" w:rsidRDefault="00BC29BD" w:rsidP="003F7855">
            <w:pPr>
              <w:rPr>
                <w:bCs/>
              </w:rPr>
            </w:pPr>
            <w:r>
              <w:rPr>
                <w:bCs/>
              </w:rPr>
              <w:t>Anlæg og drift</w:t>
            </w:r>
          </w:p>
        </w:tc>
        <w:tc>
          <w:tcPr>
            <w:tcW w:w="964" w:type="pct"/>
          </w:tcPr>
          <w:p w14:paraId="62052DDA" w14:textId="01ECF5D0" w:rsidR="00BC29BD" w:rsidRPr="003F7855" w:rsidRDefault="00BC29BD" w:rsidP="003F7855">
            <w:r>
              <w:t>Projektets betydning for de rødlistede svampearter skal beskrives og vurderes både i anlægs- og driftsfasen</w:t>
            </w:r>
            <w:r w:rsidR="00EF4245">
              <w:t>.</w:t>
            </w:r>
          </w:p>
        </w:tc>
        <w:tc>
          <w:tcPr>
            <w:tcW w:w="961" w:type="pct"/>
          </w:tcPr>
          <w:p w14:paraId="7BBCF555" w14:textId="77777777" w:rsidR="00BC29BD" w:rsidRPr="003F7855" w:rsidRDefault="00BC29BD" w:rsidP="003F7855"/>
        </w:tc>
      </w:tr>
      <w:tr w:rsidR="00782F99" w:rsidRPr="003F7855" w14:paraId="7EBE3D22" w14:textId="77777777" w:rsidTr="00DC181C">
        <w:trPr>
          <w:trHeight w:val="596"/>
        </w:trPr>
        <w:tc>
          <w:tcPr>
            <w:tcW w:w="720" w:type="pct"/>
          </w:tcPr>
          <w:p w14:paraId="362AAA94" w14:textId="77777777" w:rsidR="003F7855" w:rsidRPr="003F7855" w:rsidRDefault="003F7855" w:rsidP="003F7855">
            <w:pPr>
              <w:spacing w:after="160" w:line="259" w:lineRule="auto"/>
              <w:rPr>
                <w:b/>
              </w:rPr>
            </w:pPr>
            <w:r w:rsidRPr="003F7855">
              <w:rPr>
                <w:b/>
              </w:rPr>
              <w:t>Jordarealer og jordbund</w:t>
            </w:r>
          </w:p>
        </w:tc>
        <w:tc>
          <w:tcPr>
            <w:tcW w:w="566" w:type="pct"/>
          </w:tcPr>
          <w:p w14:paraId="1DDECF87" w14:textId="77777777" w:rsidR="003F7855" w:rsidRPr="003F7855" w:rsidRDefault="003F7855" w:rsidP="003F7855">
            <w:pPr>
              <w:spacing w:after="160" w:line="259" w:lineRule="auto"/>
            </w:pPr>
            <w:r w:rsidRPr="003F7855">
              <w:rPr>
                <w:bCs/>
              </w:rPr>
              <w:t>Jordarealer</w:t>
            </w:r>
          </w:p>
        </w:tc>
        <w:tc>
          <w:tcPr>
            <w:tcW w:w="856" w:type="pct"/>
          </w:tcPr>
          <w:p w14:paraId="6C5603A5" w14:textId="5DF5D8AE" w:rsidR="003F7855" w:rsidRPr="003F7855" w:rsidRDefault="00325780" w:rsidP="003F7855">
            <w:pPr>
              <w:spacing w:after="160" w:line="259" w:lineRule="auto"/>
            </w:pPr>
            <w:r>
              <w:t>Brød</w:t>
            </w:r>
            <w:r w:rsidR="003F7855" w:rsidRPr="003F7855">
              <w:t xml:space="preserve">mosen kan påvirkes gennem opmagasinering af </w:t>
            </w:r>
            <w:r w:rsidR="003B3521">
              <w:t>overflade</w:t>
            </w:r>
            <w:r w:rsidR="003F7855" w:rsidRPr="003F7855">
              <w:t xml:space="preserve">vand med forskellige </w:t>
            </w:r>
            <w:r w:rsidR="003B3521">
              <w:t xml:space="preserve">miljøfremmede </w:t>
            </w:r>
            <w:r w:rsidR="003F7855" w:rsidRPr="003F7855">
              <w:t>stoffer og suspenderet stof.</w:t>
            </w:r>
          </w:p>
        </w:tc>
        <w:tc>
          <w:tcPr>
            <w:tcW w:w="657" w:type="pct"/>
          </w:tcPr>
          <w:p w14:paraId="3AD6B964" w14:textId="4D4F8AEC" w:rsidR="003F7855" w:rsidRPr="003F7855" w:rsidRDefault="003F7855" w:rsidP="003F7855">
            <w:pPr>
              <w:spacing w:after="160" w:line="259" w:lineRule="auto"/>
            </w:pPr>
            <w:r w:rsidRPr="003F7855">
              <w:rPr>
                <w:bCs/>
              </w:rPr>
              <w:t xml:space="preserve">Emnet vurderes relevant at medtage i </w:t>
            </w:r>
            <w:r w:rsidR="00B81F67">
              <w:rPr>
                <w:bCs/>
              </w:rPr>
              <w:t>m</w:t>
            </w:r>
            <w:r w:rsidRPr="003F7855">
              <w:rPr>
                <w:bCs/>
              </w:rPr>
              <w:t>iljøkonsekvens-rapporten</w:t>
            </w:r>
          </w:p>
        </w:tc>
        <w:tc>
          <w:tcPr>
            <w:tcW w:w="276" w:type="pct"/>
          </w:tcPr>
          <w:p w14:paraId="5A931342" w14:textId="4BD1C142" w:rsidR="003F7855" w:rsidRPr="003F7855" w:rsidRDefault="00325780" w:rsidP="003F7855">
            <w:pPr>
              <w:spacing w:after="160" w:line="259" w:lineRule="auto"/>
              <w:rPr>
                <w:bCs/>
              </w:rPr>
            </w:pPr>
            <w:r>
              <w:rPr>
                <w:bCs/>
              </w:rPr>
              <w:t>D</w:t>
            </w:r>
            <w:r w:rsidR="003F7855" w:rsidRPr="003F7855">
              <w:rPr>
                <w:bCs/>
              </w:rPr>
              <w:t>rift</w:t>
            </w:r>
          </w:p>
        </w:tc>
        <w:tc>
          <w:tcPr>
            <w:tcW w:w="964" w:type="pct"/>
          </w:tcPr>
          <w:p w14:paraId="410F19B6" w14:textId="1969B363" w:rsidR="003F7855" w:rsidRPr="003F7855" w:rsidRDefault="003F7855" w:rsidP="003F7855">
            <w:pPr>
              <w:spacing w:after="160" w:line="259" w:lineRule="auto"/>
            </w:pPr>
            <w:r w:rsidRPr="003F7855">
              <w:t xml:space="preserve">Påvirkningen fra det </w:t>
            </w:r>
            <w:r w:rsidR="00886B60">
              <w:t>oversvømmede overfladevand</w:t>
            </w:r>
            <w:r w:rsidRPr="003F7855">
              <w:t xml:space="preserve"> vurderes ud fra det aktuelle indhold af miljøfremmede stoffer i </w:t>
            </w:r>
            <w:r w:rsidR="00886B60">
              <w:t>det tilførte overfladevand</w:t>
            </w:r>
            <w:r w:rsidRPr="003F7855">
              <w:t xml:space="preserve">, samt </w:t>
            </w:r>
            <w:r w:rsidR="00C00FE0">
              <w:t xml:space="preserve">vandkvaliteten </w:t>
            </w:r>
            <w:r w:rsidRPr="003F7855">
              <w:t xml:space="preserve">i det </w:t>
            </w:r>
            <w:r w:rsidR="00C00FE0">
              <w:t>overflade</w:t>
            </w:r>
            <w:r w:rsidRPr="003F7855">
              <w:t>vand der</w:t>
            </w:r>
            <w:r w:rsidR="00C00FE0">
              <w:t xml:space="preserve"> oversvømmer natur</w:t>
            </w:r>
            <w:r w:rsidRPr="003F7855">
              <w:t xml:space="preserve">arealerne. Til vurdering af dette anvendes </w:t>
            </w:r>
            <w:r w:rsidR="00B10F40">
              <w:t>egne målinger af vandkvalitet som suppleres med M</w:t>
            </w:r>
            <w:r w:rsidRPr="003F7855">
              <w:t>iljøstyrelsen</w:t>
            </w:r>
            <w:r w:rsidR="00B10F40">
              <w:t>s</w:t>
            </w:r>
            <w:r w:rsidRPr="003F7855">
              <w:t xml:space="preserve"> typetal</w:t>
            </w:r>
          </w:p>
          <w:p w14:paraId="4B8F50A1" w14:textId="12EEA466" w:rsidR="003F7855" w:rsidRPr="003F7855" w:rsidRDefault="003F7855" w:rsidP="003F7855">
            <w:pPr>
              <w:spacing w:after="160" w:line="259" w:lineRule="auto"/>
            </w:pPr>
            <w:r w:rsidRPr="003F7855">
              <w:t xml:space="preserve">Jordforholdene vil blive beskrevet på baggrund offentligt tilgængelige oplysninger fra bl.a. </w:t>
            </w:r>
            <w:r w:rsidR="00B10F40">
              <w:t>Greve</w:t>
            </w:r>
            <w:r w:rsidRPr="003F7855">
              <w:t xml:space="preserve"> Kommune, jordartskort fra GEUS og oplysninger fra Danmarks Miljøportal </w:t>
            </w:r>
          </w:p>
        </w:tc>
        <w:tc>
          <w:tcPr>
            <w:tcW w:w="961" w:type="pct"/>
          </w:tcPr>
          <w:p w14:paraId="541504A2" w14:textId="77777777" w:rsidR="003F7855" w:rsidRPr="003F7855" w:rsidRDefault="003F7855" w:rsidP="003F7855">
            <w:pPr>
              <w:spacing w:after="160" w:line="259" w:lineRule="auto"/>
            </w:pPr>
            <w:r w:rsidRPr="003F7855">
              <w:t xml:space="preserve">Behovet for forebyggelse af spild af forurenende stoffer fra entreprenørmaskiner vil ikke indgå i vurderingen, da det ikke forventes, at større mængder forurenende materialer vil indgå i etableringen af det nye bygværk. F.eks. forventes olie anvendt til entreprenørmaskiner håndteret efter gældende regler. Der vil heller ikke indgå betragtninger om anvendelse af råstoffer, idet der ikke forventes anvendt mængder, som kan have væsentlige miljøpåvirkninger til følge. </w:t>
            </w:r>
          </w:p>
          <w:p w14:paraId="455F9404" w14:textId="77777777" w:rsidR="003F7855" w:rsidRPr="003F7855" w:rsidRDefault="003F7855" w:rsidP="003F7855">
            <w:pPr>
              <w:spacing w:after="160" w:line="259" w:lineRule="auto"/>
            </w:pPr>
          </w:p>
        </w:tc>
      </w:tr>
      <w:tr w:rsidR="00782F99" w:rsidRPr="003F7855" w14:paraId="133EDC65" w14:textId="77777777" w:rsidTr="00DC181C">
        <w:trPr>
          <w:trHeight w:val="596"/>
        </w:trPr>
        <w:tc>
          <w:tcPr>
            <w:tcW w:w="720" w:type="pct"/>
          </w:tcPr>
          <w:p w14:paraId="0FED3F75" w14:textId="77777777" w:rsidR="00671FCF" w:rsidRPr="003F7855" w:rsidRDefault="00671FCF" w:rsidP="003F7855">
            <w:pPr>
              <w:rPr>
                <w:b/>
              </w:rPr>
            </w:pPr>
          </w:p>
        </w:tc>
        <w:tc>
          <w:tcPr>
            <w:tcW w:w="566" w:type="pct"/>
          </w:tcPr>
          <w:p w14:paraId="1BA83815" w14:textId="475E9DB4" w:rsidR="00671FCF" w:rsidRPr="003F7855" w:rsidRDefault="00F34B74" w:rsidP="003F7855">
            <w:pPr>
              <w:rPr>
                <w:bCs/>
              </w:rPr>
            </w:pPr>
            <w:r>
              <w:rPr>
                <w:bCs/>
              </w:rPr>
              <w:t>Moseareal</w:t>
            </w:r>
          </w:p>
        </w:tc>
        <w:tc>
          <w:tcPr>
            <w:tcW w:w="856" w:type="pct"/>
          </w:tcPr>
          <w:p w14:paraId="1F7C4989" w14:textId="6164A8C7" w:rsidR="00671FCF" w:rsidRDefault="00793D7F" w:rsidP="003F7855">
            <w:r>
              <w:t>Der i</w:t>
            </w:r>
            <w:r w:rsidR="00995B4B">
              <w:t xml:space="preserve">nddrages moseareal ved forlægning af Brødmoserenden </w:t>
            </w:r>
            <w:r w:rsidR="00995B4B">
              <w:lastRenderedPageBreak/>
              <w:t xml:space="preserve">samt etablering af dige mod </w:t>
            </w:r>
            <w:r w:rsidR="00C55DC9">
              <w:t xml:space="preserve">bebyggelser uden for Brødmosen </w:t>
            </w:r>
          </w:p>
        </w:tc>
        <w:tc>
          <w:tcPr>
            <w:tcW w:w="657" w:type="pct"/>
          </w:tcPr>
          <w:p w14:paraId="7E1DC051" w14:textId="68DC80B0" w:rsidR="00671FCF" w:rsidRPr="003F7855" w:rsidRDefault="00E375B2" w:rsidP="003F7855">
            <w:pPr>
              <w:rPr>
                <w:bCs/>
              </w:rPr>
            </w:pPr>
            <w:r w:rsidRPr="00E375B2">
              <w:rPr>
                <w:bCs/>
              </w:rPr>
              <w:lastRenderedPageBreak/>
              <w:t xml:space="preserve">Emnet vurderes relevant at medtage i </w:t>
            </w:r>
            <w:r w:rsidRPr="00E375B2">
              <w:rPr>
                <w:bCs/>
              </w:rPr>
              <w:lastRenderedPageBreak/>
              <w:t>miljøkonsekvens-rapporten</w:t>
            </w:r>
          </w:p>
        </w:tc>
        <w:tc>
          <w:tcPr>
            <w:tcW w:w="276" w:type="pct"/>
          </w:tcPr>
          <w:p w14:paraId="5667E26E" w14:textId="392F9789" w:rsidR="00671FCF" w:rsidRDefault="00E375B2" w:rsidP="003F7855">
            <w:pPr>
              <w:rPr>
                <w:bCs/>
              </w:rPr>
            </w:pPr>
            <w:r>
              <w:rPr>
                <w:bCs/>
              </w:rPr>
              <w:lastRenderedPageBreak/>
              <w:t>Anlæg og drift</w:t>
            </w:r>
          </w:p>
        </w:tc>
        <w:tc>
          <w:tcPr>
            <w:tcW w:w="964" w:type="pct"/>
          </w:tcPr>
          <w:p w14:paraId="6A666B4D" w14:textId="37CB6D46" w:rsidR="00671FCF" w:rsidRPr="003F7855" w:rsidRDefault="00E375B2" w:rsidP="003F7855">
            <w:r>
              <w:t xml:space="preserve">De pågældende mosearealers </w:t>
            </w:r>
            <w:r w:rsidR="00AA7F4E">
              <w:t xml:space="preserve">bevaringsstatus vurderes ift. de planlagte terrænændringer med </w:t>
            </w:r>
            <w:r w:rsidR="00AA7F4E">
              <w:lastRenderedPageBreak/>
              <w:t xml:space="preserve">særligt fokus på </w:t>
            </w:r>
            <w:r w:rsidR="00F34B74">
              <w:t>bilag IV-arters migreringsmuligheder.</w:t>
            </w:r>
          </w:p>
        </w:tc>
        <w:tc>
          <w:tcPr>
            <w:tcW w:w="961" w:type="pct"/>
          </w:tcPr>
          <w:p w14:paraId="762F64E7" w14:textId="77777777" w:rsidR="00671FCF" w:rsidRPr="003F7855" w:rsidRDefault="00671FCF" w:rsidP="003F7855"/>
        </w:tc>
      </w:tr>
      <w:tr w:rsidR="00761923" w:rsidRPr="003F7855" w14:paraId="75DE4079" w14:textId="77777777" w:rsidTr="00DC181C">
        <w:trPr>
          <w:trHeight w:val="596"/>
        </w:trPr>
        <w:tc>
          <w:tcPr>
            <w:tcW w:w="720" w:type="pct"/>
          </w:tcPr>
          <w:p w14:paraId="309B6231" w14:textId="77777777" w:rsidR="00761923" w:rsidRPr="003F7855" w:rsidRDefault="00761923" w:rsidP="003F7855">
            <w:pPr>
              <w:rPr>
                <w:b/>
              </w:rPr>
            </w:pPr>
          </w:p>
        </w:tc>
        <w:tc>
          <w:tcPr>
            <w:tcW w:w="566" w:type="pct"/>
          </w:tcPr>
          <w:p w14:paraId="5412B6E2" w14:textId="659D81B7" w:rsidR="00761923" w:rsidRDefault="00761923" w:rsidP="003F7855">
            <w:pPr>
              <w:rPr>
                <w:bCs/>
              </w:rPr>
            </w:pPr>
            <w:r>
              <w:rPr>
                <w:bCs/>
              </w:rPr>
              <w:t xml:space="preserve">Jordforurening, </w:t>
            </w:r>
            <w:r w:rsidR="00492F62">
              <w:rPr>
                <w:bCs/>
              </w:rPr>
              <w:t>jordhåndtering og terrænregulering</w:t>
            </w:r>
          </w:p>
        </w:tc>
        <w:tc>
          <w:tcPr>
            <w:tcW w:w="856" w:type="pct"/>
          </w:tcPr>
          <w:p w14:paraId="6CFEE812" w14:textId="09A8B979" w:rsidR="00761923" w:rsidRDefault="00492F62" w:rsidP="003F7855">
            <w:r>
              <w:t xml:space="preserve">Ved anlægsarbejde </w:t>
            </w:r>
            <w:r w:rsidR="00282C52">
              <w:t xml:space="preserve">nær Brødmoserenden kan det ikke udelukkes at der vil være behov for håndtering af jord, der er forurenet med </w:t>
            </w:r>
            <w:r w:rsidR="00CE690D">
              <w:t>stoffer som forekommer i separatkloakeret regnvand</w:t>
            </w:r>
          </w:p>
        </w:tc>
        <w:tc>
          <w:tcPr>
            <w:tcW w:w="657" w:type="pct"/>
          </w:tcPr>
          <w:p w14:paraId="0A19F0EE" w14:textId="3395F1AC" w:rsidR="00761923" w:rsidRPr="00E375B2" w:rsidRDefault="00CE690D" w:rsidP="003F7855">
            <w:pPr>
              <w:rPr>
                <w:bCs/>
              </w:rPr>
            </w:pPr>
            <w:r w:rsidRPr="00CE690D">
              <w:rPr>
                <w:bCs/>
              </w:rPr>
              <w:t>Emnet vurderes relevant at medtage i miljøkonsekvens-rapporten</w:t>
            </w:r>
          </w:p>
        </w:tc>
        <w:tc>
          <w:tcPr>
            <w:tcW w:w="276" w:type="pct"/>
          </w:tcPr>
          <w:p w14:paraId="203C8DA4" w14:textId="13B6D841" w:rsidR="00761923" w:rsidRDefault="00CE690D" w:rsidP="003F7855">
            <w:pPr>
              <w:rPr>
                <w:bCs/>
              </w:rPr>
            </w:pPr>
            <w:r>
              <w:rPr>
                <w:bCs/>
              </w:rPr>
              <w:t>Anlæg</w:t>
            </w:r>
          </w:p>
        </w:tc>
        <w:tc>
          <w:tcPr>
            <w:tcW w:w="964" w:type="pct"/>
          </w:tcPr>
          <w:p w14:paraId="3EC43687" w14:textId="77777777" w:rsidR="00761923" w:rsidRDefault="006B0F62" w:rsidP="006B0F62">
            <w:r>
              <w:t>Jordforureningsattest fra Region Sjælland af 15. november 2024 fortæller at regionen ikke har nogen oplysninger om jordforurening på matrikel 3l, 5bm, 5fk og 13ab, Karlslunde By, Karlslunde, og heller ikke mistanke om PFAS-forurening.</w:t>
            </w:r>
          </w:p>
          <w:p w14:paraId="4E92C8B4" w14:textId="77777777" w:rsidR="00EC54DA" w:rsidRDefault="00EC54DA" w:rsidP="006B0F62"/>
          <w:p w14:paraId="4E128260" w14:textId="712E613E" w:rsidR="00EC54DA" w:rsidRDefault="00EC54DA" w:rsidP="006B0F62">
            <w:r>
              <w:t xml:space="preserve">Der udtages </w:t>
            </w:r>
            <w:r w:rsidR="004E17A6">
              <w:t xml:space="preserve">orienterende </w:t>
            </w:r>
            <w:r>
              <w:t>analyser</w:t>
            </w:r>
            <w:r w:rsidR="004E17A6">
              <w:t xml:space="preserve"> af jordprøver til afdækning af problemets omfang.</w:t>
            </w:r>
          </w:p>
        </w:tc>
        <w:tc>
          <w:tcPr>
            <w:tcW w:w="961" w:type="pct"/>
          </w:tcPr>
          <w:p w14:paraId="372086C0" w14:textId="77777777" w:rsidR="00761923" w:rsidRPr="003F7855" w:rsidRDefault="00761923" w:rsidP="003F7855"/>
        </w:tc>
      </w:tr>
      <w:tr w:rsidR="00507FD5" w:rsidRPr="003F7855" w14:paraId="4EF670E1" w14:textId="77777777" w:rsidTr="0093323F">
        <w:trPr>
          <w:trHeight w:val="596"/>
        </w:trPr>
        <w:tc>
          <w:tcPr>
            <w:tcW w:w="720" w:type="pct"/>
            <w:vMerge w:val="restart"/>
          </w:tcPr>
          <w:p w14:paraId="633C3FD4" w14:textId="77777777" w:rsidR="003F7855" w:rsidRPr="00DC4FF5" w:rsidRDefault="003F7855" w:rsidP="003F7855">
            <w:pPr>
              <w:spacing w:after="160" w:line="259" w:lineRule="auto"/>
              <w:rPr>
                <w:b/>
              </w:rPr>
            </w:pPr>
            <w:r w:rsidRPr="00DC4FF5">
              <w:rPr>
                <w:b/>
              </w:rPr>
              <w:t>Vand</w:t>
            </w:r>
          </w:p>
        </w:tc>
        <w:tc>
          <w:tcPr>
            <w:tcW w:w="566" w:type="pct"/>
            <w:tcBorders>
              <w:bottom w:val="single" w:sz="4" w:space="0" w:color="auto"/>
            </w:tcBorders>
          </w:tcPr>
          <w:p w14:paraId="1969993C" w14:textId="77777777" w:rsidR="003F7855" w:rsidRPr="00DC4FF5" w:rsidRDefault="003F7855" w:rsidP="003F7855">
            <w:pPr>
              <w:spacing w:after="160" w:line="259" w:lineRule="auto"/>
              <w:rPr>
                <w:bCs/>
              </w:rPr>
            </w:pPr>
            <w:r w:rsidRPr="00DC4FF5">
              <w:t>Overfladevand</w:t>
            </w:r>
          </w:p>
        </w:tc>
        <w:tc>
          <w:tcPr>
            <w:tcW w:w="856" w:type="pct"/>
            <w:tcBorders>
              <w:bottom w:val="single" w:sz="4" w:space="0" w:color="auto"/>
            </w:tcBorders>
          </w:tcPr>
          <w:p w14:paraId="032857E3" w14:textId="19EF933C" w:rsidR="003F7855" w:rsidRPr="003F7855" w:rsidRDefault="00447EF9" w:rsidP="003F7855">
            <w:pPr>
              <w:spacing w:after="160" w:line="259" w:lineRule="auto"/>
            </w:pPr>
            <w:r>
              <w:t xml:space="preserve">Overløb til Brødmosen af separatkloakeret regnvand </w:t>
            </w:r>
            <w:r w:rsidR="003F7855" w:rsidRPr="003F7855">
              <w:t xml:space="preserve">kan potentielt påvirke </w:t>
            </w:r>
            <w:r w:rsidR="00B17E44">
              <w:t>målsatte søer</w:t>
            </w:r>
            <w:r w:rsidR="003F7855" w:rsidRPr="003F7855">
              <w:t xml:space="preserve"> både fysisk (vandflow m.v.) og kemisk (vandkvalitet, herunder ændring i iltforhold samt opslæmning af sediment).</w:t>
            </w:r>
          </w:p>
          <w:p w14:paraId="1B24D342" w14:textId="77777777" w:rsidR="003F7855" w:rsidRPr="003F7855" w:rsidRDefault="003F7855" w:rsidP="009A0C22"/>
        </w:tc>
        <w:tc>
          <w:tcPr>
            <w:tcW w:w="657" w:type="pct"/>
            <w:tcBorders>
              <w:bottom w:val="single" w:sz="4" w:space="0" w:color="auto"/>
            </w:tcBorders>
          </w:tcPr>
          <w:p w14:paraId="6EC957A0" w14:textId="06206E56" w:rsidR="003F7855" w:rsidRPr="003F7855" w:rsidRDefault="003F7855" w:rsidP="003F7855">
            <w:pPr>
              <w:spacing w:after="160" w:line="259" w:lineRule="auto"/>
              <w:rPr>
                <w:bCs/>
              </w:rPr>
            </w:pPr>
            <w:r w:rsidRPr="003F7855">
              <w:rPr>
                <w:bCs/>
              </w:rPr>
              <w:t xml:space="preserve">Emnet vurderes relevant at medtage i </w:t>
            </w:r>
            <w:r w:rsidR="00B81F67">
              <w:rPr>
                <w:bCs/>
              </w:rPr>
              <w:t>m</w:t>
            </w:r>
            <w:r w:rsidRPr="003F7855">
              <w:rPr>
                <w:bCs/>
              </w:rPr>
              <w:t>iljøkonsekvens-rapporten</w:t>
            </w:r>
          </w:p>
        </w:tc>
        <w:tc>
          <w:tcPr>
            <w:tcW w:w="276" w:type="pct"/>
            <w:tcBorders>
              <w:bottom w:val="single" w:sz="4" w:space="0" w:color="auto"/>
            </w:tcBorders>
          </w:tcPr>
          <w:p w14:paraId="3D338E5C" w14:textId="77777777" w:rsidR="003F7855" w:rsidRPr="003F7855" w:rsidRDefault="003F7855" w:rsidP="003F7855">
            <w:pPr>
              <w:spacing w:after="160" w:line="259" w:lineRule="auto"/>
              <w:rPr>
                <w:bCs/>
              </w:rPr>
            </w:pPr>
            <w:r w:rsidRPr="003F7855">
              <w:rPr>
                <w:bCs/>
              </w:rPr>
              <w:t>Anlæg og drift</w:t>
            </w:r>
          </w:p>
        </w:tc>
        <w:tc>
          <w:tcPr>
            <w:tcW w:w="964" w:type="pct"/>
            <w:tcBorders>
              <w:bottom w:val="single" w:sz="4" w:space="0" w:color="auto"/>
            </w:tcBorders>
          </w:tcPr>
          <w:p w14:paraId="7DE9355C" w14:textId="3C07DF7A" w:rsidR="003F7855" w:rsidRPr="003F7855" w:rsidRDefault="003F7855" w:rsidP="003F7855">
            <w:pPr>
              <w:spacing w:after="160" w:line="259" w:lineRule="auto"/>
            </w:pPr>
            <w:r w:rsidRPr="003F7855">
              <w:t>Emnet omfatter forhold o</w:t>
            </w:r>
            <w:r w:rsidR="00773EAC">
              <w:t>mkring</w:t>
            </w:r>
            <w:r w:rsidRPr="003F7855">
              <w:t xml:space="preserve"> vandkvalitet. Tilstanden og målsætninger i henhold til vandområdeplanen, samt i vandområdernes beskyttelse og anvendelse vil blive gennemgået for </w:t>
            </w:r>
            <w:r w:rsidR="005D15F1">
              <w:t>Brødmosen</w:t>
            </w:r>
            <w:r w:rsidRPr="003F7855">
              <w:t xml:space="preserve">. </w:t>
            </w:r>
          </w:p>
          <w:p w14:paraId="76B117BC" w14:textId="77777777" w:rsidR="003F7855" w:rsidRPr="003F7855" w:rsidRDefault="003F7855" w:rsidP="003F7855">
            <w:pPr>
              <w:spacing w:after="160" w:line="259" w:lineRule="auto"/>
            </w:pPr>
            <w:r w:rsidRPr="003F7855">
              <w:t>Oplysninger omkring eksisterende belastninger vil ligeledes blive belyst.</w:t>
            </w:r>
          </w:p>
          <w:p w14:paraId="1F6C00CC" w14:textId="7C9D7620" w:rsidR="003F7855" w:rsidRPr="003F7855" w:rsidRDefault="003F7855" w:rsidP="003F7855">
            <w:pPr>
              <w:spacing w:after="160" w:line="259" w:lineRule="auto"/>
            </w:pPr>
            <w:r w:rsidRPr="003F7855">
              <w:t>Der tages udgangspunkt i oplysninger fra de gældende Vandområdeplaner for 2021-2027</w:t>
            </w:r>
            <w:r w:rsidR="00351820">
              <w:t>.</w:t>
            </w:r>
            <w:r w:rsidRPr="003F7855">
              <w:t xml:space="preserve"> Yderligere anvendes data fra Danmarks Miljøportal (Arealinformation og Miljødata) og andre relevante kilder. </w:t>
            </w:r>
          </w:p>
        </w:tc>
        <w:tc>
          <w:tcPr>
            <w:tcW w:w="961" w:type="pct"/>
            <w:tcBorders>
              <w:bottom w:val="single" w:sz="4" w:space="0" w:color="auto"/>
            </w:tcBorders>
          </w:tcPr>
          <w:p w14:paraId="0D674CB5" w14:textId="4A4D032A" w:rsidR="003F7855" w:rsidRPr="003F7855" w:rsidRDefault="00F21CD4" w:rsidP="003F7855">
            <w:pPr>
              <w:spacing w:after="160" w:line="259" w:lineRule="auto"/>
            </w:pPr>
            <w:r>
              <w:t xml:space="preserve">Behovet for undersøgelse af </w:t>
            </w:r>
            <w:r w:rsidR="00804E03">
              <w:t>p</w:t>
            </w:r>
            <w:r w:rsidR="009A0C22">
              <w:t>åvirkningen af Køge Bugt</w:t>
            </w:r>
            <w:r w:rsidR="00BA77BD">
              <w:t xml:space="preserve"> </w:t>
            </w:r>
            <w:r w:rsidR="00804E03">
              <w:t xml:space="preserve">vurderes ikke at være relevant, med mindre der iværksættes rensning </w:t>
            </w:r>
            <w:r w:rsidR="009C5795">
              <w:t>af regnvandet inden tilløb til Brødmoserenden.</w:t>
            </w:r>
          </w:p>
        </w:tc>
      </w:tr>
      <w:tr w:rsidR="00507FD5" w:rsidRPr="003F7855" w14:paraId="7A2FFEAE" w14:textId="77777777" w:rsidTr="00BD4A5F">
        <w:trPr>
          <w:trHeight w:val="596"/>
        </w:trPr>
        <w:tc>
          <w:tcPr>
            <w:tcW w:w="720" w:type="pct"/>
            <w:vMerge/>
          </w:tcPr>
          <w:p w14:paraId="5F553942" w14:textId="77777777" w:rsidR="003F7855" w:rsidRPr="003F7855" w:rsidRDefault="003F7855" w:rsidP="003F7855">
            <w:pPr>
              <w:spacing w:after="160" w:line="259" w:lineRule="auto"/>
              <w:rPr>
                <w:b/>
              </w:rPr>
            </w:pPr>
          </w:p>
        </w:tc>
        <w:tc>
          <w:tcPr>
            <w:tcW w:w="566" w:type="pct"/>
            <w:tcBorders>
              <w:bottom w:val="single" w:sz="4" w:space="0" w:color="auto"/>
            </w:tcBorders>
            <w:shd w:val="clear" w:color="auto" w:fill="auto"/>
          </w:tcPr>
          <w:p w14:paraId="63828ACA" w14:textId="77777777" w:rsidR="003F7855" w:rsidRPr="003F7855" w:rsidRDefault="003F7855" w:rsidP="003F7855">
            <w:pPr>
              <w:spacing w:after="160" w:line="259" w:lineRule="auto"/>
            </w:pPr>
            <w:r w:rsidRPr="003F7855">
              <w:t>Grund- og drikkevand</w:t>
            </w:r>
          </w:p>
        </w:tc>
        <w:tc>
          <w:tcPr>
            <w:tcW w:w="856" w:type="pct"/>
            <w:tcBorders>
              <w:bottom w:val="single" w:sz="4" w:space="0" w:color="auto"/>
            </w:tcBorders>
            <w:shd w:val="clear" w:color="auto" w:fill="auto"/>
          </w:tcPr>
          <w:p w14:paraId="22136437" w14:textId="24CBA2B1" w:rsidR="003F7855" w:rsidRPr="003F7855" w:rsidRDefault="005916DD" w:rsidP="0093323F">
            <w:r>
              <w:t xml:space="preserve">Projektområdet ligger </w:t>
            </w:r>
            <w:r w:rsidR="002D2B3B">
              <w:t xml:space="preserve">delvist </w:t>
            </w:r>
            <w:r>
              <w:t xml:space="preserve">indenfor Områder med Særlige Drikkevandsinteresser </w:t>
            </w:r>
            <w:r w:rsidR="0093323F">
              <w:t>men</w:t>
            </w:r>
            <w:r>
              <w:t xml:space="preserve"> udenfor indvindingsopland til almene vandværker. </w:t>
            </w:r>
          </w:p>
        </w:tc>
        <w:tc>
          <w:tcPr>
            <w:tcW w:w="657" w:type="pct"/>
            <w:tcBorders>
              <w:bottom w:val="single" w:sz="4" w:space="0" w:color="auto"/>
            </w:tcBorders>
            <w:shd w:val="clear" w:color="auto" w:fill="auto"/>
          </w:tcPr>
          <w:p w14:paraId="5CF85CFB" w14:textId="3C7FA40D" w:rsidR="003F7855" w:rsidRPr="003F7855" w:rsidRDefault="003F7855" w:rsidP="003F7855">
            <w:pPr>
              <w:spacing w:after="160" w:line="259" w:lineRule="auto"/>
            </w:pPr>
            <w:r w:rsidRPr="003F7855">
              <w:rPr>
                <w:bCs/>
              </w:rPr>
              <w:t xml:space="preserve">Emnet vurderes relevant at medtage i </w:t>
            </w:r>
            <w:r w:rsidR="00B81F67">
              <w:rPr>
                <w:bCs/>
              </w:rPr>
              <w:t>m</w:t>
            </w:r>
            <w:r w:rsidRPr="003F7855">
              <w:rPr>
                <w:bCs/>
              </w:rPr>
              <w:t>iljøkonsekvens-rapporten</w:t>
            </w:r>
          </w:p>
        </w:tc>
        <w:tc>
          <w:tcPr>
            <w:tcW w:w="276" w:type="pct"/>
            <w:tcBorders>
              <w:bottom w:val="single" w:sz="4" w:space="0" w:color="auto"/>
            </w:tcBorders>
            <w:shd w:val="clear" w:color="auto" w:fill="auto"/>
          </w:tcPr>
          <w:p w14:paraId="3F140291" w14:textId="224EE64D" w:rsidR="003F7855" w:rsidRPr="003F7855" w:rsidRDefault="00C82470" w:rsidP="003F7855">
            <w:pPr>
              <w:spacing w:after="160" w:line="259" w:lineRule="auto"/>
              <w:rPr>
                <w:bCs/>
              </w:rPr>
            </w:pPr>
            <w:r>
              <w:rPr>
                <w:bCs/>
              </w:rPr>
              <w:t>Anlæg</w:t>
            </w:r>
          </w:p>
        </w:tc>
        <w:tc>
          <w:tcPr>
            <w:tcW w:w="964" w:type="pct"/>
            <w:tcBorders>
              <w:bottom w:val="single" w:sz="4" w:space="0" w:color="auto"/>
            </w:tcBorders>
            <w:shd w:val="clear" w:color="auto" w:fill="auto"/>
          </w:tcPr>
          <w:p w14:paraId="64535E8D" w14:textId="78A1DD7D" w:rsidR="003F7855" w:rsidRPr="003F7855" w:rsidRDefault="00C82470" w:rsidP="003F7855">
            <w:pPr>
              <w:spacing w:after="160" w:line="259" w:lineRule="auto"/>
            </w:pPr>
            <w:r>
              <w:t xml:space="preserve">Der vil kunne opstå behov for grundvandssænkning med sugespidsanlæg i anlægsperioden, </w:t>
            </w:r>
            <w:r w:rsidR="0093323F">
              <w:t>medmindre</w:t>
            </w:r>
            <w:r>
              <w:t xml:space="preserve"> </w:t>
            </w:r>
            <w:r w:rsidR="00FF378D">
              <w:t>der vælges en anlægsperiode med lav grundvandsstand</w:t>
            </w:r>
          </w:p>
        </w:tc>
        <w:tc>
          <w:tcPr>
            <w:tcW w:w="961" w:type="pct"/>
            <w:tcBorders>
              <w:bottom w:val="single" w:sz="4" w:space="0" w:color="auto"/>
            </w:tcBorders>
            <w:shd w:val="clear" w:color="auto" w:fill="auto"/>
          </w:tcPr>
          <w:p w14:paraId="6D5F403B" w14:textId="451BA1B3" w:rsidR="003F7855" w:rsidRPr="003F7855" w:rsidRDefault="003F7855" w:rsidP="003F7855">
            <w:pPr>
              <w:spacing w:after="160" w:line="259" w:lineRule="auto"/>
            </w:pPr>
            <w:r w:rsidRPr="003F7855">
              <w:t>.</w:t>
            </w:r>
          </w:p>
        </w:tc>
      </w:tr>
      <w:tr w:rsidR="00507FD5" w:rsidRPr="003F7855" w14:paraId="4C64FCD7" w14:textId="77777777" w:rsidTr="00BD4A5F">
        <w:trPr>
          <w:trHeight w:val="596"/>
        </w:trPr>
        <w:tc>
          <w:tcPr>
            <w:tcW w:w="720" w:type="pct"/>
            <w:vMerge w:val="restart"/>
          </w:tcPr>
          <w:p w14:paraId="1E4A651B" w14:textId="7C771A62" w:rsidR="003F7855" w:rsidRPr="003F7855" w:rsidRDefault="003F7855" w:rsidP="003F7855">
            <w:pPr>
              <w:spacing w:after="160" w:line="259" w:lineRule="auto"/>
              <w:rPr>
                <w:b/>
              </w:rPr>
            </w:pPr>
            <w:r w:rsidRPr="003F7855">
              <w:rPr>
                <w:b/>
              </w:rPr>
              <w:t xml:space="preserve">Luft og </w:t>
            </w:r>
            <w:r w:rsidR="00137A20">
              <w:rPr>
                <w:b/>
              </w:rPr>
              <w:t>K</w:t>
            </w:r>
            <w:r w:rsidRPr="003F7855">
              <w:rPr>
                <w:b/>
              </w:rPr>
              <w:t>lima</w:t>
            </w:r>
          </w:p>
        </w:tc>
        <w:tc>
          <w:tcPr>
            <w:tcW w:w="566" w:type="pct"/>
            <w:tcBorders>
              <w:bottom w:val="single" w:sz="4" w:space="0" w:color="auto"/>
            </w:tcBorders>
            <w:shd w:val="clear" w:color="auto" w:fill="D9D9D9" w:themeFill="background1" w:themeFillShade="D9"/>
          </w:tcPr>
          <w:p w14:paraId="27157515" w14:textId="77777777" w:rsidR="003F7855" w:rsidRPr="003F7855" w:rsidRDefault="003F7855" w:rsidP="003F7855">
            <w:pPr>
              <w:spacing w:after="160" w:line="259" w:lineRule="auto"/>
              <w:rPr>
                <w:bCs/>
              </w:rPr>
            </w:pPr>
            <w:r w:rsidRPr="003F7855">
              <w:rPr>
                <w:bCs/>
              </w:rPr>
              <w:t>Luft og lugt</w:t>
            </w:r>
          </w:p>
        </w:tc>
        <w:tc>
          <w:tcPr>
            <w:tcW w:w="856" w:type="pct"/>
            <w:tcBorders>
              <w:bottom w:val="single" w:sz="4" w:space="0" w:color="auto"/>
            </w:tcBorders>
            <w:shd w:val="clear" w:color="auto" w:fill="D9D9D9" w:themeFill="background1" w:themeFillShade="D9"/>
          </w:tcPr>
          <w:p w14:paraId="7D3969E9" w14:textId="77777777" w:rsidR="003F7855" w:rsidRPr="003F7855" w:rsidRDefault="003F7855" w:rsidP="003F7855">
            <w:pPr>
              <w:spacing w:after="160" w:line="259" w:lineRule="auto"/>
            </w:pPr>
            <w:r w:rsidRPr="003F7855">
              <w:t>I forbindelse med projektet kunne der potentielt opstå luft- og/eller lugtgener</w:t>
            </w:r>
          </w:p>
        </w:tc>
        <w:tc>
          <w:tcPr>
            <w:tcW w:w="657" w:type="pct"/>
            <w:tcBorders>
              <w:bottom w:val="single" w:sz="4" w:space="0" w:color="auto"/>
            </w:tcBorders>
            <w:shd w:val="clear" w:color="auto" w:fill="D9D9D9" w:themeFill="background1" w:themeFillShade="D9"/>
          </w:tcPr>
          <w:p w14:paraId="1EA11432" w14:textId="58D15048" w:rsidR="003F7855" w:rsidRPr="003F7855" w:rsidRDefault="003F7855" w:rsidP="003F7855">
            <w:pPr>
              <w:spacing w:after="160" w:line="259" w:lineRule="auto"/>
              <w:rPr>
                <w:bCs/>
              </w:rPr>
            </w:pPr>
            <w:r w:rsidRPr="003F7855">
              <w:rPr>
                <w:bCs/>
              </w:rPr>
              <w:t xml:space="preserve">Emnet vurderes ikke relevant at medtage i </w:t>
            </w:r>
            <w:r w:rsidR="00B81F67">
              <w:rPr>
                <w:bCs/>
              </w:rPr>
              <w:t>m</w:t>
            </w:r>
            <w:r w:rsidRPr="003F7855">
              <w:rPr>
                <w:bCs/>
              </w:rPr>
              <w:t>iljøkonsekvens-rapporten</w:t>
            </w:r>
          </w:p>
        </w:tc>
        <w:tc>
          <w:tcPr>
            <w:tcW w:w="276" w:type="pct"/>
            <w:tcBorders>
              <w:bottom w:val="single" w:sz="4" w:space="0" w:color="auto"/>
            </w:tcBorders>
            <w:shd w:val="clear" w:color="auto" w:fill="D9D9D9" w:themeFill="background1" w:themeFillShade="D9"/>
          </w:tcPr>
          <w:p w14:paraId="24908214" w14:textId="77777777" w:rsidR="003F7855" w:rsidRPr="003F7855" w:rsidRDefault="003F7855" w:rsidP="003F7855">
            <w:pPr>
              <w:spacing w:after="160" w:line="259" w:lineRule="auto"/>
              <w:rPr>
                <w:bCs/>
              </w:rPr>
            </w:pPr>
            <w:r w:rsidRPr="003F7855">
              <w:rPr>
                <w:bCs/>
              </w:rPr>
              <w:t>Anlæg og drift</w:t>
            </w:r>
          </w:p>
        </w:tc>
        <w:tc>
          <w:tcPr>
            <w:tcW w:w="964" w:type="pct"/>
            <w:tcBorders>
              <w:bottom w:val="single" w:sz="4" w:space="0" w:color="auto"/>
            </w:tcBorders>
            <w:shd w:val="clear" w:color="auto" w:fill="D9D9D9" w:themeFill="background1" w:themeFillShade="D9"/>
          </w:tcPr>
          <w:p w14:paraId="56DB10C8" w14:textId="77777777" w:rsidR="003F7855" w:rsidRPr="003F7855" w:rsidRDefault="003F7855" w:rsidP="003F7855">
            <w:pPr>
              <w:spacing w:after="160" w:line="259" w:lineRule="auto"/>
            </w:pPr>
            <w:r w:rsidRPr="003F7855">
              <w:t xml:space="preserve">Beskrivelse og vurdering af emissioner, herunder lugtgener, støvemissioner og brændstofemissioner fra transport og entreprenørmaskiner. </w:t>
            </w:r>
          </w:p>
          <w:p w14:paraId="2D1FA87E" w14:textId="77777777" w:rsidR="003F7855" w:rsidRPr="003F7855" w:rsidRDefault="003F7855" w:rsidP="003F7855">
            <w:pPr>
              <w:spacing w:after="160" w:line="259" w:lineRule="auto"/>
            </w:pPr>
          </w:p>
        </w:tc>
        <w:tc>
          <w:tcPr>
            <w:tcW w:w="961" w:type="pct"/>
            <w:tcBorders>
              <w:bottom w:val="single" w:sz="4" w:space="0" w:color="auto"/>
            </w:tcBorders>
            <w:shd w:val="clear" w:color="auto" w:fill="D9D9D9" w:themeFill="background1" w:themeFillShade="D9"/>
          </w:tcPr>
          <w:p w14:paraId="328FA977" w14:textId="77777777" w:rsidR="003F7855" w:rsidRPr="003F7855" w:rsidRDefault="003F7855" w:rsidP="003F7855">
            <w:pPr>
              <w:spacing w:after="160" w:line="259" w:lineRule="auto"/>
            </w:pPr>
            <w:r w:rsidRPr="003F7855">
              <w:t>Eventuel luft og lugtgener vil udelukkende kunne opstå i anlægsfasen og vurderes ubetydelige grundet den korte varighed og projektets begrænsede anlægsmæssige omfang.</w:t>
            </w:r>
          </w:p>
        </w:tc>
      </w:tr>
      <w:tr w:rsidR="00507FD5" w:rsidRPr="003F7855" w14:paraId="6C219814" w14:textId="77777777" w:rsidTr="00BD4A5F">
        <w:trPr>
          <w:trHeight w:val="596"/>
        </w:trPr>
        <w:tc>
          <w:tcPr>
            <w:tcW w:w="720" w:type="pct"/>
            <w:vMerge/>
          </w:tcPr>
          <w:p w14:paraId="5944B04D" w14:textId="77777777" w:rsidR="003F7855" w:rsidRPr="003F7855" w:rsidRDefault="003F7855" w:rsidP="003F7855">
            <w:pPr>
              <w:spacing w:after="160" w:line="259" w:lineRule="auto"/>
              <w:rPr>
                <w:b/>
              </w:rPr>
            </w:pPr>
          </w:p>
        </w:tc>
        <w:tc>
          <w:tcPr>
            <w:tcW w:w="566" w:type="pct"/>
            <w:shd w:val="clear" w:color="auto" w:fill="D9D9D9" w:themeFill="background1" w:themeFillShade="D9"/>
          </w:tcPr>
          <w:p w14:paraId="3B2C5EE7" w14:textId="77777777" w:rsidR="003F7855" w:rsidRPr="003F7855" w:rsidRDefault="003F7855" w:rsidP="003F7855">
            <w:pPr>
              <w:spacing w:after="160" w:line="259" w:lineRule="auto"/>
              <w:rPr>
                <w:bCs/>
              </w:rPr>
            </w:pPr>
            <w:r w:rsidRPr="003F7855">
              <w:rPr>
                <w:bCs/>
              </w:rPr>
              <w:t>Klimatilpasning</w:t>
            </w:r>
          </w:p>
        </w:tc>
        <w:tc>
          <w:tcPr>
            <w:tcW w:w="856" w:type="pct"/>
            <w:shd w:val="clear" w:color="auto" w:fill="D9D9D9" w:themeFill="background1" w:themeFillShade="D9"/>
          </w:tcPr>
          <w:p w14:paraId="5C13BCAC" w14:textId="6E94257B" w:rsidR="003F7855" w:rsidRPr="003F7855" w:rsidRDefault="008F653B" w:rsidP="003F7855">
            <w:pPr>
              <w:spacing w:after="160" w:line="259" w:lineRule="auto"/>
            </w:pPr>
            <w:r>
              <w:t xml:space="preserve">I forbindelse med anlægsarbejdet </w:t>
            </w:r>
            <w:r w:rsidR="00DA475C">
              <w:t>vil der blive udledt drivhusgasser fra entreprenørmaskiner</w:t>
            </w:r>
          </w:p>
        </w:tc>
        <w:tc>
          <w:tcPr>
            <w:tcW w:w="657" w:type="pct"/>
            <w:shd w:val="clear" w:color="auto" w:fill="D9D9D9" w:themeFill="background1" w:themeFillShade="D9"/>
          </w:tcPr>
          <w:p w14:paraId="7C39EE1E" w14:textId="546467F5" w:rsidR="003F7855" w:rsidRPr="003F7855" w:rsidRDefault="003F7855" w:rsidP="003F7855">
            <w:pPr>
              <w:spacing w:after="160" w:line="259" w:lineRule="auto"/>
              <w:rPr>
                <w:bCs/>
              </w:rPr>
            </w:pPr>
            <w:r w:rsidRPr="003F7855">
              <w:rPr>
                <w:bCs/>
              </w:rPr>
              <w:t xml:space="preserve">Emnet vurderes </w:t>
            </w:r>
            <w:r w:rsidR="00344DAC">
              <w:rPr>
                <w:bCs/>
              </w:rPr>
              <w:t xml:space="preserve">ikke </w:t>
            </w:r>
            <w:r w:rsidRPr="003F7855">
              <w:rPr>
                <w:bCs/>
              </w:rPr>
              <w:t xml:space="preserve">relevant at medtage i </w:t>
            </w:r>
            <w:r w:rsidR="00B81F67">
              <w:rPr>
                <w:bCs/>
              </w:rPr>
              <w:t>m</w:t>
            </w:r>
            <w:r w:rsidRPr="003F7855">
              <w:rPr>
                <w:bCs/>
              </w:rPr>
              <w:t>iljøkonsekvens-rapporten</w:t>
            </w:r>
          </w:p>
        </w:tc>
        <w:tc>
          <w:tcPr>
            <w:tcW w:w="276" w:type="pct"/>
            <w:shd w:val="clear" w:color="auto" w:fill="D9D9D9" w:themeFill="background1" w:themeFillShade="D9"/>
          </w:tcPr>
          <w:p w14:paraId="5570FAB8" w14:textId="62E59DAF" w:rsidR="003F7855" w:rsidRPr="003F7855" w:rsidRDefault="00B37A82" w:rsidP="003F7855">
            <w:pPr>
              <w:spacing w:after="160" w:line="259" w:lineRule="auto"/>
              <w:rPr>
                <w:bCs/>
              </w:rPr>
            </w:pPr>
            <w:r>
              <w:rPr>
                <w:bCs/>
              </w:rPr>
              <w:t>Anlæg og d</w:t>
            </w:r>
            <w:r w:rsidR="003F7855" w:rsidRPr="003F7855">
              <w:rPr>
                <w:bCs/>
              </w:rPr>
              <w:t>rift</w:t>
            </w:r>
          </w:p>
        </w:tc>
        <w:tc>
          <w:tcPr>
            <w:tcW w:w="964" w:type="pct"/>
            <w:shd w:val="clear" w:color="auto" w:fill="D9D9D9" w:themeFill="background1" w:themeFillShade="D9"/>
          </w:tcPr>
          <w:p w14:paraId="6A4F4E91" w14:textId="5BA6AA8B" w:rsidR="003F7855" w:rsidRPr="003F7855" w:rsidRDefault="00DA475C" w:rsidP="003F7855">
            <w:pPr>
              <w:spacing w:after="160" w:line="259" w:lineRule="auto"/>
            </w:pPr>
            <w:r>
              <w:t xml:space="preserve">Beskrivelse og vurdering af </w:t>
            </w:r>
            <w:r w:rsidR="0053572D">
              <w:t>emissioner af drivhusgasser fra transport af jord og entreprenørmaskiner</w:t>
            </w:r>
          </w:p>
        </w:tc>
        <w:tc>
          <w:tcPr>
            <w:tcW w:w="961" w:type="pct"/>
            <w:shd w:val="clear" w:color="auto" w:fill="D9D9D9" w:themeFill="background1" w:themeFillShade="D9"/>
          </w:tcPr>
          <w:p w14:paraId="5134A819" w14:textId="65C7D62A" w:rsidR="003F7855" w:rsidRPr="003F7855" w:rsidRDefault="003F7855" w:rsidP="003F7855">
            <w:pPr>
              <w:spacing w:after="160" w:line="259" w:lineRule="auto"/>
            </w:pPr>
            <w:r w:rsidRPr="003F7855">
              <w:t xml:space="preserve">Udledningen af drivhusgasser fra entreprenørmaskiner under anlægsfasen vurderes ikke til at være væsentlig, da anlægsarbejdet </w:t>
            </w:r>
            <w:r w:rsidRPr="003F7855">
              <w:lastRenderedPageBreak/>
              <w:t xml:space="preserve">vurderes at være af relativt beskedent omfang. </w:t>
            </w:r>
          </w:p>
        </w:tc>
      </w:tr>
      <w:tr w:rsidR="00782F99" w:rsidRPr="003F7855" w14:paraId="389CB56F" w14:textId="77777777" w:rsidTr="00DC181C">
        <w:trPr>
          <w:trHeight w:val="596"/>
        </w:trPr>
        <w:tc>
          <w:tcPr>
            <w:tcW w:w="720" w:type="pct"/>
          </w:tcPr>
          <w:p w14:paraId="053D9B80" w14:textId="77777777" w:rsidR="003F7855" w:rsidRPr="003F7855" w:rsidRDefault="003F7855" w:rsidP="003F7855">
            <w:pPr>
              <w:spacing w:after="160" w:line="259" w:lineRule="auto"/>
              <w:rPr>
                <w:b/>
              </w:rPr>
            </w:pPr>
            <w:r w:rsidRPr="003F7855">
              <w:rPr>
                <w:b/>
              </w:rPr>
              <w:lastRenderedPageBreak/>
              <w:t>Materielle goder</w:t>
            </w:r>
          </w:p>
        </w:tc>
        <w:tc>
          <w:tcPr>
            <w:tcW w:w="566" w:type="pct"/>
          </w:tcPr>
          <w:p w14:paraId="27832B6F" w14:textId="77777777" w:rsidR="003F7855" w:rsidRPr="003F7855" w:rsidRDefault="003F7855" w:rsidP="003F7855">
            <w:pPr>
              <w:spacing w:after="160" w:line="259" w:lineRule="auto"/>
            </w:pPr>
          </w:p>
        </w:tc>
        <w:tc>
          <w:tcPr>
            <w:tcW w:w="856" w:type="pct"/>
          </w:tcPr>
          <w:p w14:paraId="6E26020F" w14:textId="2A7DB03C" w:rsidR="003F7855" w:rsidRPr="003F7855" w:rsidRDefault="003F7855" w:rsidP="003F7855">
            <w:pPr>
              <w:spacing w:after="160" w:line="259" w:lineRule="auto"/>
              <w:rPr>
                <w:iCs/>
              </w:rPr>
            </w:pPr>
            <w:r w:rsidRPr="003F7855">
              <w:rPr>
                <w:iCs/>
              </w:rPr>
              <w:t>Projektet kan have indvirkning på de materielle goder i</w:t>
            </w:r>
            <w:r w:rsidR="00B17EA8">
              <w:rPr>
                <w:iCs/>
              </w:rPr>
              <w:t xml:space="preserve"> nærområdet til Brødmosen, herunder de beboere, der får </w:t>
            </w:r>
            <w:r w:rsidR="00507FD5">
              <w:rPr>
                <w:iCs/>
              </w:rPr>
              <w:t>afskåret deres ejendomme fra oversvømmelse</w:t>
            </w:r>
            <w:r w:rsidRPr="003F7855">
              <w:rPr>
                <w:iCs/>
              </w:rPr>
              <w:t>.</w:t>
            </w:r>
          </w:p>
        </w:tc>
        <w:tc>
          <w:tcPr>
            <w:tcW w:w="657" w:type="pct"/>
          </w:tcPr>
          <w:p w14:paraId="4329F741" w14:textId="20EE1F07" w:rsidR="003F7855" w:rsidRPr="003F7855" w:rsidRDefault="003F7855" w:rsidP="003F7855">
            <w:pPr>
              <w:spacing w:after="160" w:line="259" w:lineRule="auto"/>
            </w:pPr>
            <w:r w:rsidRPr="003F7855">
              <w:rPr>
                <w:bCs/>
              </w:rPr>
              <w:t xml:space="preserve">Emnet vurderes relevant at medtage i </w:t>
            </w:r>
            <w:r w:rsidR="008A739C">
              <w:rPr>
                <w:bCs/>
              </w:rPr>
              <w:t>m</w:t>
            </w:r>
            <w:r w:rsidRPr="003F7855">
              <w:rPr>
                <w:bCs/>
              </w:rPr>
              <w:t>iljøkonsekvens-rapporten</w:t>
            </w:r>
          </w:p>
        </w:tc>
        <w:tc>
          <w:tcPr>
            <w:tcW w:w="276" w:type="pct"/>
          </w:tcPr>
          <w:p w14:paraId="3BFF518E" w14:textId="77777777" w:rsidR="003F7855" w:rsidRPr="003F7855" w:rsidRDefault="003F7855" w:rsidP="003F7855">
            <w:pPr>
              <w:spacing w:after="160" w:line="259" w:lineRule="auto"/>
              <w:rPr>
                <w:bCs/>
              </w:rPr>
            </w:pPr>
            <w:r w:rsidRPr="003F7855">
              <w:rPr>
                <w:bCs/>
              </w:rPr>
              <w:t>Drift</w:t>
            </w:r>
          </w:p>
        </w:tc>
        <w:tc>
          <w:tcPr>
            <w:tcW w:w="964" w:type="pct"/>
          </w:tcPr>
          <w:p w14:paraId="4CE87F5D" w14:textId="4A9741D8" w:rsidR="003F7855" w:rsidRPr="003F7855" w:rsidRDefault="003F7855" w:rsidP="003F7855">
            <w:pPr>
              <w:spacing w:after="160" w:line="259" w:lineRule="auto"/>
              <w:rPr>
                <w:iCs/>
              </w:rPr>
            </w:pPr>
            <w:r w:rsidRPr="003F7855">
              <w:rPr>
                <w:iCs/>
              </w:rPr>
              <w:t xml:space="preserve">Der foretages en vurdering af projektets indvirkning, herunder særligt de positive indvirkninger, på materielle goder </w:t>
            </w:r>
            <w:r w:rsidR="00C078A9">
              <w:rPr>
                <w:iCs/>
              </w:rPr>
              <w:t>for de pågældende ejendomme på Bastebjerg</w:t>
            </w:r>
            <w:r w:rsidRPr="003F7855">
              <w:rPr>
                <w:iCs/>
              </w:rPr>
              <w:t>.</w:t>
            </w:r>
          </w:p>
        </w:tc>
        <w:tc>
          <w:tcPr>
            <w:tcW w:w="961" w:type="pct"/>
          </w:tcPr>
          <w:p w14:paraId="0E6AF744" w14:textId="77777777" w:rsidR="003F7855" w:rsidRPr="003F7855" w:rsidRDefault="003F7855" w:rsidP="003F7855">
            <w:pPr>
              <w:spacing w:after="160" w:line="259" w:lineRule="auto"/>
            </w:pPr>
          </w:p>
        </w:tc>
      </w:tr>
      <w:tr w:rsidR="00782F99" w:rsidRPr="003F7855" w14:paraId="08B5F166" w14:textId="77777777" w:rsidTr="00DC181C">
        <w:trPr>
          <w:trHeight w:val="596"/>
        </w:trPr>
        <w:tc>
          <w:tcPr>
            <w:tcW w:w="720" w:type="pct"/>
            <w:vMerge w:val="restart"/>
          </w:tcPr>
          <w:p w14:paraId="6EE932F8" w14:textId="3787E5DD" w:rsidR="003F7855" w:rsidRPr="003F7855" w:rsidDel="006A0FB1" w:rsidRDefault="003F7855" w:rsidP="003F7855">
            <w:pPr>
              <w:spacing w:after="160" w:line="259" w:lineRule="auto"/>
              <w:rPr>
                <w:b/>
              </w:rPr>
            </w:pPr>
            <w:r w:rsidRPr="003F7855">
              <w:rPr>
                <w:b/>
              </w:rPr>
              <w:t xml:space="preserve">Landskab og </w:t>
            </w:r>
            <w:r w:rsidR="00B04934">
              <w:rPr>
                <w:b/>
              </w:rPr>
              <w:t>K</w:t>
            </w:r>
            <w:r w:rsidRPr="003F7855">
              <w:rPr>
                <w:b/>
              </w:rPr>
              <w:t>ulturarv</w:t>
            </w:r>
          </w:p>
        </w:tc>
        <w:tc>
          <w:tcPr>
            <w:tcW w:w="566" w:type="pct"/>
          </w:tcPr>
          <w:p w14:paraId="03555786" w14:textId="77777777" w:rsidR="003F7855" w:rsidRPr="003F7855" w:rsidDel="006A0FB1" w:rsidRDefault="003F7855" w:rsidP="003F7855">
            <w:pPr>
              <w:spacing w:after="160" w:line="259" w:lineRule="auto"/>
            </w:pPr>
            <w:r w:rsidRPr="003F7855">
              <w:t>Visualiseringer</w:t>
            </w:r>
          </w:p>
        </w:tc>
        <w:tc>
          <w:tcPr>
            <w:tcW w:w="856" w:type="pct"/>
          </w:tcPr>
          <w:p w14:paraId="05B5A4AB" w14:textId="1F8AB4D2" w:rsidR="003F7855" w:rsidRPr="003F7855" w:rsidRDefault="003F7855" w:rsidP="005E7B98">
            <w:pPr>
              <w:spacing w:after="160" w:line="259" w:lineRule="auto"/>
              <w:rPr>
                <w:iCs/>
              </w:rPr>
            </w:pPr>
            <w:r w:rsidRPr="003F7855">
              <w:t xml:space="preserve">Projektet vil medføre en ændring af </w:t>
            </w:r>
            <w:r w:rsidR="005F57E4">
              <w:t>udsigten over Brødmosen</w:t>
            </w:r>
            <w:r w:rsidR="005A60F9">
              <w:t xml:space="preserve"> fra nogle af de ejendomme som bliver nabo til diget</w:t>
            </w:r>
            <w:r w:rsidR="005E7B98">
              <w:t>.</w:t>
            </w:r>
          </w:p>
        </w:tc>
        <w:tc>
          <w:tcPr>
            <w:tcW w:w="657" w:type="pct"/>
          </w:tcPr>
          <w:p w14:paraId="247ADA30" w14:textId="4736D102" w:rsidR="003F7855" w:rsidRPr="003F7855" w:rsidRDefault="003F7855" w:rsidP="003F7855">
            <w:pPr>
              <w:spacing w:after="160" w:line="259" w:lineRule="auto"/>
            </w:pPr>
            <w:r w:rsidRPr="003F7855">
              <w:rPr>
                <w:bCs/>
              </w:rPr>
              <w:t xml:space="preserve">Emnet vurderes relevant at medtage i </w:t>
            </w:r>
            <w:r w:rsidR="008A739C">
              <w:rPr>
                <w:bCs/>
              </w:rPr>
              <w:t>m</w:t>
            </w:r>
            <w:r w:rsidRPr="003F7855">
              <w:rPr>
                <w:bCs/>
              </w:rPr>
              <w:t>iljøkonsekvens-rapporten</w:t>
            </w:r>
          </w:p>
        </w:tc>
        <w:tc>
          <w:tcPr>
            <w:tcW w:w="276" w:type="pct"/>
          </w:tcPr>
          <w:p w14:paraId="18112168" w14:textId="77777777" w:rsidR="003F7855" w:rsidRPr="003F7855" w:rsidRDefault="003F7855" w:rsidP="003F7855">
            <w:pPr>
              <w:spacing w:after="160" w:line="259" w:lineRule="auto"/>
              <w:rPr>
                <w:bCs/>
              </w:rPr>
            </w:pPr>
            <w:r w:rsidRPr="003F7855">
              <w:rPr>
                <w:bCs/>
              </w:rPr>
              <w:t>Drift</w:t>
            </w:r>
          </w:p>
        </w:tc>
        <w:tc>
          <w:tcPr>
            <w:tcW w:w="964" w:type="pct"/>
          </w:tcPr>
          <w:p w14:paraId="5242354B" w14:textId="5DDA9738" w:rsidR="003F7855" w:rsidRPr="003F7855" w:rsidRDefault="003F7855" w:rsidP="005E7B98">
            <w:pPr>
              <w:spacing w:after="160" w:line="259" w:lineRule="auto"/>
              <w:rPr>
                <w:iCs/>
              </w:rPr>
            </w:pPr>
            <w:r w:rsidRPr="003F7855">
              <w:t xml:space="preserve">Der udarbejdes visualiseringer </w:t>
            </w:r>
            <w:r w:rsidR="005A60F9">
              <w:t xml:space="preserve">af </w:t>
            </w:r>
            <w:r w:rsidR="005E7B98">
              <w:t>den forlagte Brødmoserende og diget</w:t>
            </w:r>
            <w:r w:rsidRPr="003F7855">
              <w:t>.</w:t>
            </w:r>
          </w:p>
        </w:tc>
        <w:tc>
          <w:tcPr>
            <w:tcW w:w="961" w:type="pct"/>
          </w:tcPr>
          <w:p w14:paraId="51035A8F" w14:textId="77777777" w:rsidR="003F7855" w:rsidRPr="003F7855" w:rsidRDefault="003F7855" w:rsidP="003F7855">
            <w:pPr>
              <w:spacing w:after="160" w:line="259" w:lineRule="auto"/>
            </w:pPr>
          </w:p>
        </w:tc>
      </w:tr>
      <w:tr w:rsidR="00782F99" w:rsidRPr="003F7855" w14:paraId="17D7A2FB" w14:textId="77777777" w:rsidTr="00243130">
        <w:trPr>
          <w:trHeight w:val="596"/>
        </w:trPr>
        <w:tc>
          <w:tcPr>
            <w:tcW w:w="720" w:type="pct"/>
            <w:vMerge/>
          </w:tcPr>
          <w:p w14:paraId="46FA9A8A" w14:textId="77777777" w:rsidR="003F7855" w:rsidRPr="003F7855" w:rsidDel="006A0FB1" w:rsidRDefault="003F7855" w:rsidP="003F7855">
            <w:pPr>
              <w:spacing w:after="160" w:line="259" w:lineRule="auto"/>
              <w:rPr>
                <w:b/>
              </w:rPr>
            </w:pPr>
          </w:p>
        </w:tc>
        <w:tc>
          <w:tcPr>
            <w:tcW w:w="566" w:type="pct"/>
            <w:tcBorders>
              <w:bottom w:val="single" w:sz="4" w:space="0" w:color="auto"/>
            </w:tcBorders>
          </w:tcPr>
          <w:p w14:paraId="17077AB9" w14:textId="77777777" w:rsidR="003F7855" w:rsidRPr="003F7855" w:rsidDel="006A0FB1" w:rsidRDefault="003F7855" w:rsidP="003F7855">
            <w:pPr>
              <w:spacing w:after="160" w:line="259" w:lineRule="auto"/>
            </w:pPr>
            <w:r w:rsidRPr="003F7855">
              <w:t>Arkæologi</w:t>
            </w:r>
          </w:p>
        </w:tc>
        <w:tc>
          <w:tcPr>
            <w:tcW w:w="856" w:type="pct"/>
            <w:tcBorders>
              <w:bottom w:val="single" w:sz="4" w:space="0" w:color="auto"/>
            </w:tcBorders>
          </w:tcPr>
          <w:p w14:paraId="14FBD5D7" w14:textId="64ECC1E6" w:rsidR="003F7855" w:rsidRPr="003F7855" w:rsidRDefault="003F7855" w:rsidP="003F7855">
            <w:pPr>
              <w:spacing w:after="160" w:line="259" w:lineRule="auto"/>
              <w:rPr>
                <w:iCs/>
              </w:rPr>
            </w:pPr>
            <w:r w:rsidRPr="003F7855">
              <w:rPr>
                <w:iCs/>
              </w:rPr>
              <w:t xml:space="preserve">Fortidsminder, kulturarv og arkæologiske genstande kan påvirkes af </w:t>
            </w:r>
            <w:r w:rsidR="00BC2068">
              <w:rPr>
                <w:iCs/>
              </w:rPr>
              <w:t>anlægsarbejdet med forlægning af Brødmoserenden</w:t>
            </w:r>
            <w:r w:rsidRPr="003F7855">
              <w:rPr>
                <w:iCs/>
              </w:rPr>
              <w:t>.</w:t>
            </w:r>
          </w:p>
        </w:tc>
        <w:tc>
          <w:tcPr>
            <w:tcW w:w="657" w:type="pct"/>
            <w:tcBorders>
              <w:bottom w:val="single" w:sz="4" w:space="0" w:color="auto"/>
            </w:tcBorders>
          </w:tcPr>
          <w:p w14:paraId="1C474949" w14:textId="335799B0" w:rsidR="003F7855" w:rsidRPr="003F7855" w:rsidRDefault="003F7855" w:rsidP="003F7855">
            <w:pPr>
              <w:spacing w:after="160" w:line="259" w:lineRule="auto"/>
            </w:pPr>
            <w:r w:rsidRPr="003F7855">
              <w:rPr>
                <w:bCs/>
              </w:rPr>
              <w:t xml:space="preserve">Emnet vurderes relevant at medtage i </w:t>
            </w:r>
            <w:r w:rsidR="008A739C">
              <w:rPr>
                <w:bCs/>
              </w:rPr>
              <w:t>m</w:t>
            </w:r>
            <w:r w:rsidRPr="003F7855">
              <w:rPr>
                <w:bCs/>
              </w:rPr>
              <w:t>iljøkonsekvens-rapporten</w:t>
            </w:r>
          </w:p>
        </w:tc>
        <w:tc>
          <w:tcPr>
            <w:tcW w:w="276" w:type="pct"/>
            <w:tcBorders>
              <w:bottom w:val="single" w:sz="4" w:space="0" w:color="auto"/>
            </w:tcBorders>
          </w:tcPr>
          <w:p w14:paraId="75D3477D" w14:textId="798EC1CD" w:rsidR="003F7855" w:rsidRPr="003F7855" w:rsidRDefault="00BC2068" w:rsidP="003F7855">
            <w:pPr>
              <w:spacing w:after="160" w:line="259" w:lineRule="auto"/>
              <w:rPr>
                <w:bCs/>
              </w:rPr>
            </w:pPr>
            <w:r>
              <w:rPr>
                <w:bCs/>
              </w:rPr>
              <w:t>Anlæg</w:t>
            </w:r>
          </w:p>
        </w:tc>
        <w:tc>
          <w:tcPr>
            <w:tcW w:w="964" w:type="pct"/>
            <w:tcBorders>
              <w:bottom w:val="single" w:sz="4" w:space="0" w:color="auto"/>
            </w:tcBorders>
          </w:tcPr>
          <w:p w14:paraId="456A7BAC" w14:textId="70420D5D" w:rsidR="003F7855" w:rsidRPr="003F7855" w:rsidRDefault="003F7855" w:rsidP="003F7855">
            <w:pPr>
              <w:spacing w:after="160" w:line="259" w:lineRule="auto"/>
              <w:rPr>
                <w:iCs/>
              </w:rPr>
            </w:pPr>
            <w:r w:rsidRPr="003F7855">
              <w:rPr>
                <w:iCs/>
              </w:rPr>
              <w:t xml:space="preserve">Der indhentes en </w:t>
            </w:r>
            <w:r w:rsidR="003F3915">
              <w:rPr>
                <w:iCs/>
              </w:rPr>
              <w:t xml:space="preserve">museal </w:t>
            </w:r>
            <w:r w:rsidRPr="003F7855">
              <w:rPr>
                <w:iCs/>
              </w:rPr>
              <w:t>udtalelse som inddrages i vurderingen.</w:t>
            </w:r>
          </w:p>
        </w:tc>
        <w:tc>
          <w:tcPr>
            <w:tcW w:w="961" w:type="pct"/>
            <w:tcBorders>
              <w:bottom w:val="single" w:sz="4" w:space="0" w:color="auto"/>
            </w:tcBorders>
          </w:tcPr>
          <w:p w14:paraId="211759AA" w14:textId="37A8F1B7" w:rsidR="003F7855" w:rsidRPr="003F7855" w:rsidRDefault="00175CD7" w:rsidP="003F7855">
            <w:pPr>
              <w:spacing w:after="160" w:line="259" w:lineRule="auto"/>
            </w:pPr>
            <w:r>
              <w:t>Der påtænkes ikke udført søgegravninger, da der er tale om en mose, hvor der igennem tiderne har været udført omfattende tørvegravning.</w:t>
            </w:r>
          </w:p>
        </w:tc>
      </w:tr>
      <w:tr w:rsidR="00782F99" w:rsidRPr="003F7855" w14:paraId="63E691CF" w14:textId="77777777" w:rsidTr="00243130">
        <w:trPr>
          <w:trHeight w:val="596"/>
        </w:trPr>
        <w:tc>
          <w:tcPr>
            <w:tcW w:w="720" w:type="pct"/>
            <w:vMerge w:val="restart"/>
          </w:tcPr>
          <w:p w14:paraId="469430F4" w14:textId="77777777" w:rsidR="003F7855" w:rsidRPr="003F7855" w:rsidRDefault="003F7855" w:rsidP="003F7855">
            <w:pPr>
              <w:spacing w:after="160" w:line="259" w:lineRule="auto"/>
              <w:rPr>
                <w:b/>
              </w:rPr>
            </w:pPr>
            <w:r w:rsidRPr="003F7855">
              <w:rPr>
                <w:b/>
              </w:rPr>
              <w:t>Ressourcer og affaldsproduktion</w:t>
            </w:r>
          </w:p>
        </w:tc>
        <w:tc>
          <w:tcPr>
            <w:tcW w:w="566" w:type="pct"/>
            <w:shd w:val="clear" w:color="auto" w:fill="D9D9D9" w:themeFill="background1" w:themeFillShade="D9"/>
          </w:tcPr>
          <w:p w14:paraId="3E26DC34" w14:textId="77777777" w:rsidR="003F7855" w:rsidRPr="003F7855" w:rsidRDefault="003F7855" w:rsidP="003F7855">
            <w:pPr>
              <w:spacing w:after="160" w:line="259" w:lineRule="auto"/>
            </w:pPr>
            <w:r w:rsidRPr="003F7855">
              <w:rPr>
                <w:bCs/>
              </w:rPr>
              <w:t>Vand</w:t>
            </w:r>
          </w:p>
        </w:tc>
        <w:tc>
          <w:tcPr>
            <w:tcW w:w="856" w:type="pct"/>
            <w:shd w:val="clear" w:color="auto" w:fill="D9D9D9" w:themeFill="background1" w:themeFillShade="D9"/>
          </w:tcPr>
          <w:p w14:paraId="73DA8F61" w14:textId="4A970BC8" w:rsidR="003F7855" w:rsidRPr="003F7855" w:rsidRDefault="0047558D" w:rsidP="003F7855">
            <w:pPr>
              <w:spacing w:after="160" w:line="259" w:lineRule="auto"/>
              <w:rPr>
                <w:iCs/>
              </w:rPr>
            </w:pPr>
            <w:r>
              <w:t>Anlægsprojektet</w:t>
            </w:r>
            <w:r w:rsidR="00191BAF">
              <w:t xml:space="preserve"> vil behandle indsivende grundvand</w:t>
            </w:r>
            <w:r w:rsidR="00782F99">
              <w:t xml:space="preserve"> og nedbør, som bortpumpes for at tørholde byggegruberne</w:t>
            </w:r>
            <w:r w:rsidR="003F7855" w:rsidRPr="003F7855">
              <w:t>.</w:t>
            </w:r>
          </w:p>
        </w:tc>
        <w:tc>
          <w:tcPr>
            <w:tcW w:w="657" w:type="pct"/>
            <w:shd w:val="clear" w:color="auto" w:fill="D9D9D9" w:themeFill="background1" w:themeFillShade="D9"/>
          </w:tcPr>
          <w:p w14:paraId="22BB69EF" w14:textId="4B0D1CD9" w:rsidR="003F7855" w:rsidRPr="003F7855" w:rsidRDefault="00782F99" w:rsidP="003F7855">
            <w:pPr>
              <w:spacing w:after="160" w:line="259" w:lineRule="auto"/>
            </w:pPr>
            <w:r>
              <w:rPr>
                <w:bCs/>
              </w:rPr>
              <w:t>Emnet vurderes ikke relevant at medtage i miljøkonsekvens-rapporten</w:t>
            </w:r>
          </w:p>
        </w:tc>
        <w:tc>
          <w:tcPr>
            <w:tcW w:w="276" w:type="pct"/>
            <w:shd w:val="clear" w:color="auto" w:fill="D9D9D9" w:themeFill="background1" w:themeFillShade="D9"/>
          </w:tcPr>
          <w:p w14:paraId="0ADBCCAB" w14:textId="68919F80" w:rsidR="003F7855" w:rsidRPr="003F7855" w:rsidRDefault="00782F99" w:rsidP="003F7855">
            <w:pPr>
              <w:spacing w:after="160" w:line="259" w:lineRule="auto"/>
              <w:rPr>
                <w:bCs/>
              </w:rPr>
            </w:pPr>
            <w:r>
              <w:rPr>
                <w:bCs/>
              </w:rPr>
              <w:t>Anlæg</w:t>
            </w:r>
          </w:p>
        </w:tc>
        <w:tc>
          <w:tcPr>
            <w:tcW w:w="964" w:type="pct"/>
            <w:shd w:val="clear" w:color="auto" w:fill="D9D9D9" w:themeFill="background1" w:themeFillShade="D9"/>
          </w:tcPr>
          <w:p w14:paraId="2D47839B" w14:textId="6AEC5DE2" w:rsidR="003F7855" w:rsidRPr="003F7855" w:rsidRDefault="000C4E07" w:rsidP="003F7855">
            <w:pPr>
              <w:spacing w:after="160" w:line="259" w:lineRule="auto"/>
              <w:rPr>
                <w:iCs/>
              </w:rPr>
            </w:pPr>
            <w:r>
              <w:rPr>
                <w:iCs/>
              </w:rPr>
              <w:t xml:space="preserve">Beskrivelse og vurdering af </w:t>
            </w:r>
            <w:r w:rsidR="0098663F">
              <w:rPr>
                <w:iCs/>
              </w:rPr>
              <w:t>bortpumpningsmængder i anlægsperioden</w:t>
            </w:r>
          </w:p>
        </w:tc>
        <w:tc>
          <w:tcPr>
            <w:tcW w:w="961" w:type="pct"/>
            <w:shd w:val="clear" w:color="auto" w:fill="D9D9D9" w:themeFill="background1" w:themeFillShade="D9"/>
          </w:tcPr>
          <w:p w14:paraId="2B908FBA" w14:textId="13A884BB" w:rsidR="003F7855" w:rsidRPr="003F7855" w:rsidRDefault="0098663F" w:rsidP="003F7855">
            <w:pPr>
              <w:spacing w:after="160" w:line="259" w:lineRule="auto"/>
            </w:pPr>
            <w:proofErr w:type="spellStart"/>
            <w:r>
              <w:t>Tørholdelsesvandet</w:t>
            </w:r>
            <w:proofErr w:type="spellEnd"/>
            <w:r>
              <w:t xml:space="preserve"> vurderes at have nogenlunde samme kemiske sammensætning som det regnvand der løber i Br</w:t>
            </w:r>
            <w:r w:rsidR="00086390">
              <w:t>ø</w:t>
            </w:r>
            <w:r>
              <w:t>dmoserenden</w:t>
            </w:r>
            <w:r w:rsidR="00086390">
              <w:t xml:space="preserve">, og bortskaffes til </w:t>
            </w:r>
            <w:r w:rsidR="00243130">
              <w:t>sandfangsbassinet og ledes videre til Køge Bugt.</w:t>
            </w:r>
          </w:p>
        </w:tc>
      </w:tr>
      <w:tr w:rsidR="00782F99" w:rsidRPr="003F7855" w14:paraId="4244203B" w14:textId="77777777" w:rsidTr="00DC181C">
        <w:trPr>
          <w:trHeight w:val="596"/>
        </w:trPr>
        <w:tc>
          <w:tcPr>
            <w:tcW w:w="720" w:type="pct"/>
            <w:vMerge/>
          </w:tcPr>
          <w:p w14:paraId="1F7497BB" w14:textId="77777777" w:rsidR="003F7855" w:rsidRPr="003F7855" w:rsidRDefault="003F7855" w:rsidP="003F7855">
            <w:pPr>
              <w:spacing w:after="160" w:line="259" w:lineRule="auto"/>
              <w:rPr>
                <w:b/>
              </w:rPr>
            </w:pPr>
          </w:p>
        </w:tc>
        <w:tc>
          <w:tcPr>
            <w:tcW w:w="566" w:type="pct"/>
            <w:shd w:val="clear" w:color="auto" w:fill="auto"/>
          </w:tcPr>
          <w:p w14:paraId="56ED9921" w14:textId="643FE9C6" w:rsidR="003F7855" w:rsidRPr="003F7855" w:rsidRDefault="003F7855" w:rsidP="003F7855">
            <w:pPr>
              <w:spacing w:after="160" w:line="259" w:lineRule="auto"/>
            </w:pPr>
            <w:r w:rsidRPr="003F7855">
              <w:rPr>
                <w:bCs/>
              </w:rPr>
              <w:t>Affald</w:t>
            </w:r>
            <w:r w:rsidR="00120C6D">
              <w:rPr>
                <w:bCs/>
              </w:rPr>
              <w:t xml:space="preserve"> </w:t>
            </w:r>
          </w:p>
        </w:tc>
        <w:tc>
          <w:tcPr>
            <w:tcW w:w="856" w:type="pct"/>
            <w:shd w:val="clear" w:color="auto" w:fill="auto"/>
          </w:tcPr>
          <w:p w14:paraId="741869AA" w14:textId="0BAFD029" w:rsidR="003F7855" w:rsidRPr="003F7855" w:rsidRDefault="003F7855" w:rsidP="003F7855">
            <w:pPr>
              <w:spacing w:after="160" w:line="259" w:lineRule="auto"/>
            </w:pPr>
            <w:r w:rsidRPr="003F7855">
              <w:t xml:space="preserve">Der kan blive </w:t>
            </w:r>
            <w:r w:rsidR="009562DD">
              <w:t>behov for bortskaffelse af jord, herunder blødbundsaflejringer</w:t>
            </w:r>
            <w:r w:rsidR="00076738">
              <w:t>, som ikke kan benyttes til genindbygning i diger, samt bortskaffelse af forurenet jord</w:t>
            </w:r>
          </w:p>
        </w:tc>
        <w:tc>
          <w:tcPr>
            <w:tcW w:w="657" w:type="pct"/>
            <w:shd w:val="clear" w:color="auto" w:fill="auto"/>
          </w:tcPr>
          <w:p w14:paraId="679AA76D" w14:textId="4C82889D" w:rsidR="003F7855" w:rsidRPr="003F7855" w:rsidRDefault="003F7855" w:rsidP="003F7855">
            <w:pPr>
              <w:spacing w:after="160" w:line="259" w:lineRule="auto"/>
            </w:pPr>
            <w:r w:rsidRPr="003F7855">
              <w:rPr>
                <w:bCs/>
              </w:rPr>
              <w:t xml:space="preserve">Emnet vurderes relevant at medtage i </w:t>
            </w:r>
            <w:r w:rsidR="008A739C">
              <w:rPr>
                <w:bCs/>
              </w:rPr>
              <w:t>m</w:t>
            </w:r>
            <w:r w:rsidRPr="003F7855">
              <w:rPr>
                <w:bCs/>
              </w:rPr>
              <w:t>iljøkonsekvens-rapporten</w:t>
            </w:r>
          </w:p>
        </w:tc>
        <w:tc>
          <w:tcPr>
            <w:tcW w:w="276" w:type="pct"/>
            <w:shd w:val="clear" w:color="auto" w:fill="auto"/>
          </w:tcPr>
          <w:p w14:paraId="3315E66D" w14:textId="3FDE9ABD" w:rsidR="003F7855" w:rsidRPr="003F7855" w:rsidRDefault="00076738" w:rsidP="003F7855">
            <w:pPr>
              <w:spacing w:after="160" w:line="259" w:lineRule="auto"/>
              <w:rPr>
                <w:bCs/>
              </w:rPr>
            </w:pPr>
            <w:r>
              <w:rPr>
                <w:bCs/>
              </w:rPr>
              <w:t>Anlæg</w:t>
            </w:r>
          </w:p>
        </w:tc>
        <w:tc>
          <w:tcPr>
            <w:tcW w:w="964" w:type="pct"/>
            <w:shd w:val="clear" w:color="auto" w:fill="auto"/>
          </w:tcPr>
          <w:p w14:paraId="6A35B7AA" w14:textId="3B7C8E6A" w:rsidR="003F7855" w:rsidRPr="003F7855" w:rsidRDefault="00E729F0" w:rsidP="003F7855">
            <w:pPr>
              <w:spacing w:after="160" w:line="259" w:lineRule="auto"/>
            </w:pPr>
            <w:r>
              <w:t>Der udarbejdes en jordhåndteringsplan ifm. udbudsprojektet</w:t>
            </w:r>
          </w:p>
        </w:tc>
        <w:tc>
          <w:tcPr>
            <w:tcW w:w="961" w:type="pct"/>
            <w:shd w:val="clear" w:color="auto" w:fill="auto"/>
          </w:tcPr>
          <w:p w14:paraId="29D3ED52" w14:textId="5569B0C8" w:rsidR="003F7855" w:rsidRPr="003F7855" w:rsidRDefault="003F7855" w:rsidP="003F7855">
            <w:pPr>
              <w:spacing w:after="160" w:line="259" w:lineRule="auto"/>
            </w:pPr>
            <w:r w:rsidRPr="003F7855">
              <w:t xml:space="preserve">Projektet vil </w:t>
            </w:r>
            <w:r w:rsidR="00E729F0">
              <w:t xml:space="preserve">herudover </w:t>
            </w:r>
            <w:r w:rsidRPr="003F7855">
              <w:t>ikke generere væsentlige mængder affald eller forbruge væsentlige ressourcer i anlægsfasen.</w:t>
            </w:r>
          </w:p>
        </w:tc>
      </w:tr>
      <w:tr w:rsidR="00782F99" w:rsidRPr="003F7855" w14:paraId="31F95660" w14:textId="77777777" w:rsidTr="00DC181C">
        <w:trPr>
          <w:trHeight w:val="596"/>
        </w:trPr>
        <w:tc>
          <w:tcPr>
            <w:tcW w:w="720" w:type="pct"/>
          </w:tcPr>
          <w:p w14:paraId="4A954F2D" w14:textId="77777777" w:rsidR="003F7855" w:rsidRPr="003F7855" w:rsidRDefault="003F7855" w:rsidP="003F7855">
            <w:pPr>
              <w:spacing w:after="160" w:line="259" w:lineRule="auto"/>
              <w:rPr>
                <w:b/>
              </w:rPr>
            </w:pPr>
            <w:r w:rsidRPr="003F7855">
              <w:rPr>
                <w:b/>
              </w:rPr>
              <w:t>Samspillet mellem faktorer</w:t>
            </w:r>
          </w:p>
        </w:tc>
        <w:tc>
          <w:tcPr>
            <w:tcW w:w="566" w:type="pct"/>
          </w:tcPr>
          <w:p w14:paraId="5D0B3FB9" w14:textId="77777777" w:rsidR="003F7855" w:rsidRPr="003F7855" w:rsidRDefault="003F7855" w:rsidP="003F7855">
            <w:pPr>
              <w:spacing w:after="160" w:line="259" w:lineRule="auto"/>
              <w:rPr>
                <w:bCs/>
              </w:rPr>
            </w:pPr>
            <w:r w:rsidRPr="003F7855">
              <w:rPr>
                <w:bCs/>
              </w:rPr>
              <w:t>Kumulative effekter</w:t>
            </w:r>
          </w:p>
        </w:tc>
        <w:tc>
          <w:tcPr>
            <w:tcW w:w="856" w:type="pct"/>
          </w:tcPr>
          <w:p w14:paraId="5AEFBC4A" w14:textId="1D2F94B8" w:rsidR="003F7855" w:rsidRPr="003F7855" w:rsidRDefault="003F7855" w:rsidP="002032FD">
            <w:pPr>
              <w:spacing w:after="160" w:line="259" w:lineRule="auto"/>
            </w:pPr>
            <w:r w:rsidRPr="003F7855">
              <w:t>Der redegøres for sammenhængen mellem identificerede mulige effekter og kumulative</w:t>
            </w:r>
            <w:r w:rsidR="002032FD">
              <w:t xml:space="preserve"> </w:t>
            </w:r>
            <w:r w:rsidRPr="003F7855">
              <w:t>effekter fra andre planlagte projekter og planer.</w:t>
            </w:r>
          </w:p>
        </w:tc>
        <w:tc>
          <w:tcPr>
            <w:tcW w:w="657" w:type="pct"/>
          </w:tcPr>
          <w:p w14:paraId="3A174484" w14:textId="5000BFD4" w:rsidR="003F7855" w:rsidRPr="003F7855" w:rsidRDefault="003F7855" w:rsidP="003F7855">
            <w:pPr>
              <w:spacing w:after="160" w:line="259" w:lineRule="auto"/>
              <w:rPr>
                <w:bCs/>
              </w:rPr>
            </w:pPr>
            <w:r w:rsidRPr="003F7855">
              <w:rPr>
                <w:bCs/>
              </w:rPr>
              <w:t xml:space="preserve">Emnet vurderes relevant at medtage i </w:t>
            </w:r>
            <w:r w:rsidR="008A739C">
              <w:rPr>
                <w:bCs/>
              </w:rPr>
              <w:t>m</w:t>
            </w:r>
            <w:r w:rsidRPr="003F7855">
              <w:rPr>
                <w:bCs/>
              </w:rPr>
              <w:t>iljøkonsekvens-rapporten</w:t>
            </w:r>
          </w:p>
        </w:tc>
        <w:tc>
          <w:tcPr>
            <w:tcW w:w="276" w:type="pct"/>
          </w:tcPr>
          <w:p w14:paraId="29AC496E" w14:textId="77777777" w:rsidR="003F7855" w:rsidRPr="003F7855" w:rsidRDefault="003F7855" w:rsidP="003F7855">
            <w:pPr>
              <w:spacing w:after="160" w:line="259" w:lineRule="auto"/>
              <w:rPr>
                <w:bCs/>
              </w:rPr>
            </w:pPr>
            <w:r w:rsidRPr="003F7855">
              <w:rPr>
                <w:bCs/>
              </w:rPr>
              <w:t>Anlæg og drift</w:t>
            </w:r>
          </w:p>
        </w:tc>
        <w:tc>
          <w:tcPr>
            <w:tcW w:w="964" w:type="pct"/>
          </w:tcPr>
          <w:p w14:paraId="63B2CF1B" w14:textId="0B84EDB3" w:rsidR="003F7855" w:rsidRPr="003F7855" w:rsidRDefault="003F7855" w:rsidP="00B04656">
            <w:pPr>
              <w:spacing w:after="160" w:line="259" w:lineRule="auto"/>
            </w:pPr>
            <w:r w:rsidRPr="003F7855">
              <w:t xml:space="preserve">Der gives en redegørelse for de kumulative effekter fra andre planlagte projekter og planer med fokus på de emner, der indgår i </w:t>
            </w:r>
            <w:r w:rsidR="002032FD">
              <w:t>m</w:t>
            </w:r>
            <w:r w:rsidRPr="003F7855">
              <w:t>iljøkonsekvensrapporten. For alle parametre foretages en vurdering og beskrivelse</w:t>
            </w:r>
            <w:r w:rsidR="002032FD">
              <w:t xml:space="preserve"> </w:t>
            </w:r>
            <w:r w:rsidRPr="003F7855">
              <w:t>af eventuelle kumulative effekter, som projektet måtte have, når effekter fra andre planer og projekter medregnes. Derudover skal indbyrdes sammenhæng mellem effekter og faktorer beskrives og vurderes, så det klart fremgår, hvilke effekter projektet medfører, herunder afledte og</w:t>
            </w:r>
            <w:r w:rsidR="00B04656">
              <w:t xml:space="preserve"> </w:t>
            </w:r>
            <w:r w:rsidRPr="003F7855">
              <w:t>indirekte effekter.</w:t>
            </w:r>
          </w:p>
        </w:tc>
        <w:tc>
          <w:tcPr>
            <w:tcW w:w="961" w:type="pct"/>
          </w:tcPr>
          <w:p w14:paraId="5DC0368B" w14:textId="77777777" w:rsidR="003F7855" w:rsidRPr="003F7855" w:rsidDel="006F3B39" w:rsidRDefault="003F7855" w:rsidP="003F7855">
            <w:pPr>
              <w:spacing w:after="160" w:line="259" w:lineRule="auto"/>
            </w:pPr>
          </w:p>
        </w:tc>
      </w:tr>
    </w:tbl>
    <w:p w14:paraId="45737F96" w14:textId="77777777" w:rsidR="003F7855" w:rsidRPr="003F7855" w:rsidRDefault="003F7855" w:rsidP="003F7855"/>
    <w:p w14:paraId="251ABB88" w14:textId="6810C5D2" w:rsidR="00B65EB9" w:rsidRDefault="00B65EB9"/>
    <w:sectPr w:rsidR="00B65EB9" w:rsidSect="003F7855">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B54D" w14:textId="77777777" w:rsidR="00A20BA7" w:rsidRDefault="00A20BA7" w:rsidP="00A20BA7">
      <w:pPr>
        <w:spacing w:after="0" w:line="240" w:lineRule="auto"/>
      </w:pPr>
      <w:r>
        <w:separator/>
      </w:r>
    </w:p>
  </w:endnote>
  <w:endnote w:type="continuationSeparator" w:id="0">
    <w:p w14:paraId="48D5DA80" w14:textId="77777777" w:rsidR="00A20BA7" w:rsidRDefault="00A20BA7" w:rsidP="00A2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CB15" w14:textId="77777777" w:rsidR="00A20BA7" w:rsidRDefault="00A20B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0902" w14:textId="77777777" w:rsidR="00A20BA7" w:rsidRDefault="00A20BA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C2320" w14:textId="77777777" w:rsidR="00A20BA7" w:rsidRDefault="00A20B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8083E" w14:textId="77777777" w:rsidR="00A20BA7" w:rsidRDefault="00A20BA7" w:rsidP="00A20BA7">
      <w:pPr>
        <w:spacing w:after="0" w:line="240" w:lineRule="auto"/>
      </w:pPr>
      <w:r>
        <w:separator/>
      </w:r>
    </w:p>
  </w:footnote>
  <w:footnote w:type="continuationSeparator" w:id="0">
    <w:p w14:paraId="72524EAF" w14:textId="77777777" w:rsidR="00A20BA7" w:rsidRDefault="00A20BA7" w:rsidP="00A20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0C705" w14:textId="6F0753B0" w:rsidR="00A20BA7" w:rsidRDefault="00CC470B">
    <w:pPr>
      <w:pStyle w:val="Sidehoved"/>
    </w:pPr>
    <w:r>
      <w:rPr>
        <w:noProof/>
      </w:rPr>
      <w:pict w14:anchorId="7A176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0344" o:spid="_x0000_s2050" type="#_x0000_t136" style="position:absolute;margin-left:0;margin-top:0;width:684.75pt;height:342.35pt;rotation:315;z-index:-251655168;mso-position-horizontal:center;mso-position-horizontal-relative:margin;mso-position-vertical:center;mso-position-vertical-relative:margin" o:allowincell="f" fillcolor="red"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F8C6D" w14:textId="485DE232" w:rsidR="00A20BA7" w:rsidRDefault="00CC470B">
    <w:pPr>
      <w:pStyle w:val="Sidehoved"/>
    </w:pPr>
    <w:r>
      <w:rPr>
        <w:noProof/>
      </w:rPr>
      <w:pict w14:anchorId="55C6D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0345" o:spid="_x0000_s2051" type="#_x0000_t136" style="position:absolute;margin-left:0;margin-top:0;width:684.75pt;height:342.35pt;rotation:315;z-index:-251653120;mso-position-horizontal:center;mso-position-horizontal-relative:margin;mso-position-vertical:center;mso-position-vertical-relative:margin" o:allowincell="f" fillcolor="red"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FD82" w14:textId="68062837" w:rsidR="00A20BA7" w:rsidRDefault="00CC470B">
    <w:pPr>
      <w:pStyle w:val="Sidehoved"/>
    </w:pPr>
    <w:r>
      <w:rPr>
        <w:noProof/>
      </w:rPr>
      <w:pict w14:anchorId="0E1F7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0343" o:spid="_x0000_s2049" type="#_x0000_t136" style="position:absolute;margin-left:0;margin-top:0;width:684.75pt;height:342.35pt;rotation:315;z-index:-251657216;mso-position-horizontal:center;mso-position-horizontal-relative:margin;mso-position-vertical:center;mso-position-vertical-relative:margin" o:allowincell="f" fillcolor="red" stroked="f">
          <v:fill opacity=".5"/>
          <v:textpath style="font-family:&quot;Calibri&quot;;font-size:1pt" string="UDKAS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55"/>
    <w:rsid w:val="00056B29"/>
    <w:rsid w:val="000679BE"/>
    <w:rsid w:val="00076738"/>
    <w:rsid w:val="00086390"/>
    <w:rsid w:val="000B3FEA"/>
    <w:rsid w:val="000C4E07"/>
    <w:rsid w:val="000F53AC"/>
    <w:rsid w:val="000F5950"/>
    <w:rsid w:val="000F5CAD"/>
    <w:rsid w:val="00120C6D"/>
    <w:rsid w:val="001332DF"/>
    <w:rsid w:val="00135855"/>
    <w:rsid w:val="00137A20"/>
    <w:rsid w:val="00151B2A"/>
    <w:rsid w:val="00174940"/>
    <w:rsid w:val="00175CD7"/>
    <w:rsid w:val="00191BAF"/>
    <w:rsid w:val="001A6D16"/>
    <w:rsid w:val="001B5530"/>
    <w:rsid w:val="002032FD"/>
    <w:rsid w:val="00241F3D"/>
    <w:rsid w:val="00243130"/>
    <w:rsid w:val="00282C52"/>
    <w:rsid w:val="00297FC6"/>
    <w:rsid w:val="002D2B3B"/>
    <w:rsid w:val="003120FA"/>
    <w:rsid w:val="00325780"/>
    <w:rsid w:val="00344DAC"/>
    <w:rsid w:val="00351820"/>
    <w:rsid w:val="003B3521"/>
    <w:rsid w:val="003B3649"/>
    <w:rsid w:val="003C7606"/>
    <w:rsid w:val="003F3915"/>
    <w:rsid w:val="003F7855"/>
    <w:rsid w:val="00430C85"/>
    <w:rsid w:val="00447EF9"/>
    <w:rsid w:val="00463BD6"/>
    <w:rsid w:val="0047558D"/>
    <w:rsid w:val="00475E24"/>
    <w:rsid w:val="00492F62"/>
    <w:rsid w:val="004A56A4"/>
    <w:rsid w:val="004E17A6"/>
    <w:rsid w:val="00507FD5"/>
    <w:rsid w:val="00521781"/>
    <w:rsid w:val="00527828"/>
    <w:rsid w:val="0053478D"/>
    <w:rsid w:val="0053572D"/>
    <w:rsid w:val="00541E1C"/>
    <w:rsid w:val="0056097A"/>
    <w:rsid w:val="005805F6"/>
    <w:rsid w:val="005916DD"/>
    <w:rsid w:val="005A0297"/>
    <w:rsid w:val="005A60F9"/>
    <w:rsid w:val="005D15F1"/>
    <w:rsid w:val="005E7B98"/>
    <w:rsid w:val="005F4C68"/>
    <w:rsid w:val="005F57E4"/>
    <w:rsid w:val="00603BE0"/>
    <w:rsid w:val="00630CCC"/>
    <w:rsid w:val="00641CDA"/>
    <w:rsid w:val="00646C87"/>
    <w:rsid w:val="006612E8"/>
    <w:rsid w:val="00671FCF"/>
    <w:rsid w:val="00682A6B"/>
    <w:rsid w:val="006B0F62"/>
    <w:rsid w:val="006B3CA1"/>
    <w:rsid w:val="00761923"/>
    <w:rsid w:val="00762011"/>
    <w:rsid w:val="00773EAC"/>
    <w:rsid w:val="00782F99"/>
    <w:rsid w:val="00783CD2"/>
    <w:rsid w:val="0078725E"/>
    <w:rsid w:val="00793D7F"/>
    <w:rsid w:val="007B4375"/>
    <w:rsid w:val="007B7D50"/>
    <w:rsid w:val="007D68DD"/>
    <w:rsid w:val="007E7980"/>
    <w:rsid w:val="007F6BA0"/>
    <w:rsid w:val="00801939"/>
    <w:rsid w:val="00804E03"/>
    <w:rsid w:val="00831E74"/>
    <w:rsid w:val="00842986"/>
    <w:rsid w:val="008449EB"/>
    <w:rsid w:val="00886B60"/>
    <w:rsid w:val="008948DE"/>
    <w:rsid w:val="00896FA2"/>
    <w:rsid w:val="0089783A"/>
    <w:rsid w:val="008A0177"/>
    <w:rsid w:val="008A739C"/>
    <w:rsid w:val="008B02D6"/>
    <w:rsid w:val="008D01CF"/>
    <w:rsid w:val="008F653B"/>
    <w:rsid w:val="0093310D"/>
    <w:rsid w:val="0093323F"/>
    <w:rsid w:val="00937517"/>
    <w:rsid w:val="009431EE"/>
    <w:rsid w:val="009562DD"/>
    <w:rsid w:val="0098663F"/>
    <w:rsid w:val="00995B4B"/>
    <w:rsid w:val="00995D63"/>
    <w:rsid w:val="009A0C22"/>
    <w:rsid w:val="009C5795"/>
    <w:rsid w:val="00A14C29"/>
    <w:rsid w:val="00A20BA7"/>
    <w:rsid w:val="00A5276E"/>
    <w:rsid w:val="00A821C1"/>
    <w:rsid w:val="00AA7F4E"/>
    <w:rsid w:val="00AF5AB6"/>
    <w:rsid w:val="00B04656"/>
    <w:rsid w:val="00B04934"/>
    <w:rsid w:val="00B10F40"/>
    <w:rsid w:val="00B17E44"/>
    <w:rsid w:val="00B17EA8"/>
    <w:rsid w:val="00B20293"/>
    <w:rsid w:val="00B37A82"/>
    <w:rsid w:val="00B65EB9"/>
    <w:rsid w:val="00B67562"/>
    <w:rsid w:val="00B81F67"/>
    <w:rsid w:val="00B94BB1"/>
    <w:rsid w:val="00BA77BD"/>
    <w:rsid w:val="00BC2068"/>
    <w:rsid w:val="00BC29BD"/>
    <w:rsid w:val="00BD4A5F"/>
    <w:rsid w:val="00C00FE0"/>
    <w:rsid w:val="00C078A9"/>
    <w:rsid w:val="00C51607"/>
    <w:rsid w:val="00C549F4"/>
    <w:rsid w:val="00C55DC9"/>
    <w:rsid w:val="00C62D55"/>
    <w:rsid w:val="00C82470"/>
    <w:rsid w:val="00C94F98"/>
    <w:rsid w:val="00CB601F"/>
    <w:rsid w:val="00CC7CF6"/>
    <w:rsid w:val="00CE690D"/>
    <w:rsid w:val="00D42C4B"/>
    <w:rsid w:val="00D53CC1"/>
    <w:rsid w:val="00D65F21"/>
    <w:rsid w:val="00D84410"/>
    <w:rsid w:val="00DA475C"/>
    <w:rsid w:val="00DC080F"/>
    <w:rsid w:val="00DC4FF5"/>
    <w:rsid w:val="00E27681"/>
    <w:rsid w:val="00E34926"/>
    <w:rsid w:val="00E375B2"/>
    <w:rsid w:val="00E419DE"/>
    <w:rsid w:val="00E45122"/>
    <w:rsid w:val="00E5611F"/>
    <w:rsid w:val="00E729F0"/>
    <w:rsid w:val="00E95873"/>
    <w:rsid w:val="00EB0BAB"/>
    <w:rsid w:val="00EB4C4A"/>
    <w:rsid w:val="00EC54DA"/>
    <w:rsid w:val="00ED5741"/>
    <w:rsid w:val="00EE2219"/>
    <w:rsid w:val="00EF4245"/>
    <w:rsid w:val="00F21CD4"/>
    <w:rsid w:val="00F34B74"/>
    <w:rsid w:val="00F50C06"/>
    <w:rsid w:val="00F5417C"/>
    <w:rsid w:val="00FB60BF"/>
    <w:rsid w:val="00FF37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C53B65"/>
  <w15:chartTrackingRefBased/>
  <w15:docId w15:val="{F37C6F86-F762-4397-9A53-D48C941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7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7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785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785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785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785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785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785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785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78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F78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F785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F785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F785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F785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F785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F785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F7855"/>
    <w:rPr>
      <w:rFonts w:eastAsiaTheme="majorEastAsia" w:cstheme="majorBidi"/>
      <w:color w:val="272727" w:themeColor="text1" w:themeTint="D8"/>
    </w:rPr>
  </w:style>
  <w:style w:type="paragraph" w:styleId="Titel">
    <w:name w:val="Title"/>
    <w:basedOn w:val="Normal"/>
    <w:next w:val="Normal"/>
    <w:link w:val="TitelTegn"/>
    <w:uiPriority w:val="10"/>
    <w:qFormat/>
    <w:rsid w:val="003F7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F785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F785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F785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F785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F7855"/>
    <w:rPr>
      <w:i/>
      <w:iCs/>
      <w:color w:val="404040" w:themeColor="text1" w:themeTint="BF"/>
    </w:rPr>
  </w:style>
  <w:style w:type="paragraph" w:styleId="Listeafsnit">
    <w:name w:val="List Paragraph"/>
    <w:basedOn w:val="Normal"/>
    <w:uiPriority w:val="34"/>
    <w:qFormat/>
    <w:rsid w:val="003F7855"/>
    <w:pPr>
      <w:ind w:left="720"/>
      <w:contextualSpacing/>
    </w:pPr>
  </w:style>
  <w:style w:type="character" w:styleId="Kraftigfremhvning">
    <w:name w:val="Intense Emphasis"/>
    <w:basedOn w:val="Standardskrifttypeiafsnit"/>
    <w:uiPriority w:val="21"/>
    <w:qFormat/>
    <w:rsid w:val="003F7855"/>
    <w:rPr>
      <w:i/>
      <w:iCs/>
      <w:color w:val="0F4761" w:themeColor="accent1" w:themeShade="BF"/>
    </w:rPr>
  </w:style>
  <w:style w:type="paragraph" w:styleId="Strktcitat">
    <w:name w:val="Intense Quote"/>
    <w:basedOn w:val="Normal"/>
    <w:next w:val="Normal"/>
    <w:link w:val="StrktcitatTegn"/>
    <w:uiPriority w:val="30"/>
    <w:qFormat/>
    <w:rsid w:val="003F7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F7855"/>
    <w:rPr>
      <w:i/>
      <w:iCs/>
      <w:color w:val="0F4761" w:themeColor="accent1" w:themeShade="BF"/>
    </w:rPr>
  </w:style>
  <w:style w:type="character" w:styleId="Kraftighenvisning">
    <w:name w:val="Intense Reference"/>
    <w:basedOn w:val="Standardskrifttypeiafsnit"/>
    <w:uiPriority w:val="32"/>
    <w:qFormat/>
    <w:rsid w:val="003F7855"/>
    <w:rPr>
      <w:b/>
      <w:bCs/>
      <w:smallCaps/>
      <w:color w:val="0F4761" w:themeColor="accent1" w:themeShade="BF"/>
      <w:spacing w:val="5"/>
    </w:rPr>
  </w:style>
  <w:style w:type="table" w:styleId="Tabel-Gitter">
    <w:name w:val="Table Grid"/>
    <w:basedOn w:val="Tabel-Normal"/>
    <w:uiPriority w:val="39"/>
    <w:rsid w:val="003F7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F7855"/>
    <w:rPr>
      <w:color w:val="467886" w:themeColor="hyperlink"/>
      <w:u w:val="single"/>
    </w:rPr>
  </w:style>
  <w:style w:type="character" w:styleId="Ulstomtale">
    <w:name w:val="Unresolved Mention"/>
    <w:basedOn w:val="Standardskrifttypeiafsnit"/>
    <w:uiPriority w:val="99"/>
    <w:semiHidden/>
    <w:unhideWhenUsed/>
    <w:rsid w:val="003F7855"/>
    <w:rPr>
      <w:color w:val="605E5C"/>
      <w:shd w:val="clear" w:color="auto" w:fill="E1DFDD"/>
    </w:rPr>
  </w:style>
  <w:style w:type="paragraph" w:styleId="Sidehoved">
    <w:name w:val="header"/>
    <w:basedOn w:val="Normal"/>
    <w:link w:val="SidehovedTegn"/>
    <w:uiPriority w:val="99"/>
    <w:unhideWhenUsed/>
    <w:rsid w:val="00A20B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20BA7"/>
  </w:style>
  <w:style w:type="paragraph" w:styleId="Sidefod">
    <w:name w:val="footer"/>
    <w:basedOn w:val="Normal"/>
    <w:link w:val="SidefodTegn"/>
    <w:uiPriority w:val="99"/>
    <w:unhideWhenUsed/>
    <w:rsid w:val="00A20B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2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68B346D1E9554CBB96D91ECBB21DCD" ma:contentTypeVersion="20" ma:contentTypeDescription="Opret et nyt dokument." ma:contentTypeScope="" ma:versionID="19a0abf72e1c0491818794a7328c45a3">
  <xsd:schema xmlns:xsd="http://www.w3.org/2001/XMLSchema" xmlns:xs="http://www.w3.org/2001/XMLSchema" xmlns:p="http://schemas.microsoft.com/office/2006/metadata/properties" xmlns:ns1="http://schemas.microsoft.com/sharepoint/v3" xmlns:ns2="b9a04747-ff96-4d23-b4f3-9f13271aab10" xmlns:ns3="bb22815e-40ed-4383-828d-75b8b8070c70" targetNamespace="http://schemas.microsoft.com/office/2006/metadata/properties" ma:root="true" ma:fieldsID="ebe81b2bc6e2f28fe21af93568ca68f7" ns1:_="" ns2:_="" ns3:_="">
    <xsd:import namespace="http://schemas.microsoft.com/sharepoint/v3"/>
    <xsd:import namespace="b9a04747-ff96-4d23-b4f3-9f13271aab10"/>
    <xsd:import namespace="bb22815e-40ed-4383-828d-75b8b8070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genskaber for Unified Compliance Policy" ma:hidden="true" ma:internalName="_ip_UnifiedCompliancePolicyProperties">
      <xsd:simpleType>
        <xsd:restriction base="dms:Note"/>
      </xsd:simpleType>
    </xsd:element>
    <xsd:element name="_ip_UnifiedCompliancePolicyUIAction" ma:index="19"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04747-ff96-4d23-b4f3-9f13271aa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e4f2d147-040e-401a-9bb4-aff9032b8efb"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2815e-40ed-4383-828d-75b8b8070c7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91525e65-21d0-48d7-94af-5ae69bd88ca3}" ma:internalName="TaxCatchAll" ma:showField="CatchAllData" ma:web="bb22815e-40ed-4383-828d-75b8b8070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b22815e-40ed-4383-828d-75b8b8070c70" xsi:nil="true"/>
    <lcf76f155ced4ddcb4097134ff3c332f xmlns="b9a04747-ff96-4d23-b4f3-9f13271aab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0914AE-B8DB-442F-8053-01E5820B78A2}"/>
</file>

<file path=customXml/itemProps2.xml><?xml version="1.0" encoding="utf-8"?>
<ds:datastoreItem xmlns:ds="http://schemas.openxmlformats.org/officeDocument/2006/customXml" ds:itemID="{4BC05750-2B47-4D04-A124-BAD05D4FF87C}"/>
</file>

<file path=customXml/itemProps3.xml><?xml version="1.0" encoding="utf-8"?>
<ds:datastoreItem xmlns:ds="http://schemas.openxmlformats.org/officeDocument/2006/customXml" ds:itemID="{4120B645-1EEB-4B6D-A98E-6BB66DDF3DA3}"/>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9367</Characters>
  <Application>Microsoft Office Word</Application>
  <DocSecurity>0</DocSecurity>
  <Lines>78</Lines>
  <Paragraphs>21</Paragraphs>
  <ScaleCrop>false</ScaleCrop>
  <Company>WSP</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Bojsen, Torben Sune</dc:creator>
  <cp:keywords/>
  <dc:description/>
  <cp:lastModifiedBy>Oliver Kovacs Rask Pedersen</cp:lastModifiedBy>
  <cp:revision>2</cp:revision>
  <dcterms:created xsi:type="dcterms:W3CDTF">2025-01-08T15:32:00Z</dcterms:created>
  <dcterms:modified xsi:type="dcterms:W3CDTF">2025-01-08T15:32:00Z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0x010100D768B346D1E9554CBB96D91ECBB21DCD</vt:lpwstr>
  </property>
</Properties>
</file>